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53" w:rsidRDefault="00095653" w:rsidP="00742642">
      <w:pPr>
        <w:jc w:val="center"/>
        <w:rPr>
          <w:b/>
          <w:caps/>
          <w:lang w:eastAsia="pt-BR"/>
        </w:rPr>
      </w:pPr>
      <w:bookmarkStart w:id="0" w:name="_GoBack"/>
      <w:bookmarkEnd w:id="0"/>
      <w:r w:rsidRPr="00742642">
        <w:rPr>
          <w:b/>
          <w:caps/>
          <w:lang w:eastAsia="pt-BR"/>
        </w:rPr>
        <w:t xml:space="preserve">Crescimento e Mobilidade do Emprego: Uma Análise Exploratória para o Setor </w:t>
      </w:r>
      <w:r w:rsidR="00F572C9" w:rsidRPr="00742642">
        <w:rPr>
          <w:b/>
          <w:caps/>
          <w:lang w:eastAsia="pt-BR"/>
        </w:rPr>
        <w:t>Têxtil do Agreste Pernambucano</w:t>
      </w:r>
    </w:p>
    <w:p w:rsidR="00742642" w:rsidRDefault="00742642" w:rsidP="00742642">
      <w:pPr>
        <w:jc w:val="center"/>
        <w:rPr>
          <w:b/>
          <w:caps/>
          <w:lang w:eastAsia="pt-BR"/>
        </w:rPr>
      </w:pPr>
    </w:p>
    <w:p w:rsidR="00742642" w:rsidRPr="00742642" w:rsidRDefault="00742642" w:rsidP="00742642">
      <w:pPr>
        <w:jc w:val="center"/>
        <w:rPr>
          <w:b/>
          <w:caps/>
          <w:lang w:eastAsia="pt-BR"/>
        </w:rPr>
      </w:pPr>
      <w:r w:rsidRPr="00742642">
        <w:rPr>
          <w:b/>
          <w:caps/>
          <w:lang w:eastAsia="pt-BR"/>
        </w:rPr>
        <w:t>GROWTH AND MOBILITY OF EMPLOYMENT: AN EXPLORATORY ANALYSIS FOR THE TEXTILE SECTOR OF AGRESTE PERNAMBUCANO</w:t>
      </w:r>
    </w:p>
    <w:p w:rsidR="00773D22" w:rsidRPr="00742642" w:rsidRDefault="00773D22" w:rsidP="00742642">
      <w:pPr>
        <w:jc w:val="center"/>
        <w:rPr>
          <w:lang w:eastAsia="pt-BR"/>
        </w:rPr>
      </w:pPr>
    </w:p>
    <w:p w:rsidR="00D257D4" w:rsidRPr="00742642" w:rsidRDefault="00D257D4" w:rsidP="00742642">
      <w:pPr>
        <w:jc w:val="right"/>
        <w:rPr>
          <w:lang w:eastAsia="pt-BR"/>
        </w:rPr>
      </w:pPr>
      <w:r w:rsidRPr="00742642">
        <w:rPr>
          <w:lang w:eastAsia="pt-BR"/>
        </w:rPr>
        <w:t>Marina Monteiro</w:t>
      </w:r>
      <w:r w:rsidR="00742642" w:rsidRPr="00742642">
        <w:rPr>
          <w:rStyle w:val="Refdenotaderodap"/>
          <w:lang w:eastAsia="pt-BR"/>
        </w:rPr>
        <w:footnoteReference w:id="1"/>
      </w:r>
    </w:p>
    <w:p w:rsidR="00D257D4" w:rsidRPr="00742642" w:rsidRDefault="00D257D4" w:rsidP="00742642">
      <w:pPr>
        <w:jc w:val="right"/>
        <w:rPr>
          <w:lang w:eastAsia="pt-BR"/>
        </w:rPr>
      </w:pPr>
      <w:r w:rsidRPr="00742642">
        <w:rPr>
          <w:lang w:eastAsia="pt-BR"/>
        </w:rPr>
        <w:t>Roberta Moraes Rocha</w:t>
      </w:r>
      <w:r w:rsidRPr="00742642">
        <w:rPr>
          <w:rStyle w:val="Refdenotaderodap"/>
          <w:lang w:eastAsia="pt-BR"/>
        </w:rPr>
        <w:footnoteReference w:id="2"/>
      </w:r>
    </w:p>
    <w:p w:rsidR="00D257D4" w:rsidRPr="00742642" w:rsidRDefault="00D257D4" w:rsidP="00742642">
      <w:pPr>
        <w:jc w:val="right"/>
        <w:rPr>
          <w:lang w:eastAsia="pt-BR"/>
        </w:rPr>
      </w:pPr>
      <w:r w:rsidRPr="00742642">
        <w:rPr>
          <w:lang w:eastAsia="pt-BR"/>
        </w:rPr>
        <w:t>Sonia Maria Fonseca Pereira Gomes</w:t>
      </w:r>
      <w:r w:rsidRPr="00742642">
        <w:rPr>
          <w:rStyle w:val="Refdenotaderodap"/>
          <w:lang w:eastAsia="pt-BR"/>
        </w:rPr>
        <w:footnoteReference w:id="3"/>
      </w:r>
    </w:p>
    <w:p w:rsidR="00095653" w:rsidRPr="00742642" w:rsidRDefault="00095653" w:rsidP="00742642">
      <w:pPr>
        <w:jc w:val="center"/>
        <w:rPr>
          <w:lang w:eastAsia="pt-BR"/>
        </w:rPr>
      </w:pPr>
    </w:p>
    <w:p w:rsidR="00095653" w:rsidRPr="00742642" w:rsidRDefault="00095653" w:rsidP="00742642">
      <w:pPr>
        <w:jc w:val="both"/>
        <w:rPr>
          <w:b/>
          <w:lang w:eastAsia="pt-BR"/>
        </w:rPr>
      </w:pPr>
      <w:r w:rsidRPr="00742642">
        <w:rPr>
          <w:b/>
          <w:lang w:eastAsia="pt-BR"/>
        </w:rPr>
        <w:t>Resumo</w:t>
      </w:r>
    </w:p>
    <w:p w:rsidR="00095653" w:rsidRPr="00742642" w:rsidRDefault="00095653" w:rsidP="00742642">
      <w:pPr>
        <w:jc w:val="both"/>
        <w:rPr>
          <w:lang w:eastAsia="pt-BR"/>
        </w:rPr>
      </w:pPr>
      <w:r w:rsidRPr="00742642">
        <w:rPr>
          <w:lang w:eastAsia="pt-BR"/>
        </w:rPr>
        <w:t>Em virtude do grande potencial econômico que o Agreste Pernambucano apresentou na década de 2000, decorrente, em especial, do crescimento da indústria da transformação, Têxtil e de Confecção, a pesquisa apresenta uma análise sobre as características do mercado de trabalho e da mão-de-obra formal deste setor, do seu crescimento e da mobilidade intersetorial. Para tanto, a partir dos dados da RAISMIGRA-</w:t>
      </w:r>
      <w:proofErr w:type="spellStart"/>
      <w:r w:rsidRPr="00742642">
        <w:rPr>
          <w:lang w:eastAsia="pt-BR"/>
        </w:rPr>
        <w:t>Mte</w:t>
      </w:r>
      <w:proofErr w:type="spellEnd"/>
      <w:r w:rsidRPr="00742642">
        <w:rPr>
          <w:lang w:eastAsia="pt-BR"/>
        </w:rPr>
        <w:t>, anos de 1995, 2000 e 2008, faz-se um estudo sobre os impactos causados pela rotatividade do emprego, sobretudo nos salários, utilizando um modelo de regressão</w:t>
      </w:r>
      <w:r w:rsidR="00E31BE7" w:rsidRPr="00742642">
        <w:rPr>
          <w:lang w:eastAsia="pt-BR"/>
        </w:rPr>
        <w:t xml:space="preserve"> log-</w:t>
      </w:r>
      <w:proofErr w:type="spellStart"/>
      <w:r w:rsidR="00E31BE7" w:rsidRPr="00742642">
        <w:rPr>
          <w:lang w:eastAsia="pt-BR"/>
        </w:rPr>
        <w:t>lin</w:t>
      </w:r>
      <w:proofErr w:type="spellEnd"/>
      <w:r w:rsidR="00E31BE7" w:rsidRPr="00742642">
        <w:rPr>
          <w:lang w:eastAsia="pt-BR"/>
        </w:rPr>
        <w:t xml:space="preserve"> por MQO e Efeitos Fixos</w:t>
      </w:r>
      <w:r w:rsidRPr="00742642">
        <w:rPr>
          <w:lang w:eastAsia="pt-BR"/>
        </w:rPr>
        <w:t>. Adicionalmente, uma matriz de interação foi construída a fim de verificar quais são os setores econômicos mais estáveis e quais apresentam maior índice de desligamentos. Os resultados da pesquisa apontaram que os retornos da rotatividade sobre os salários são decrescentes, que a Região do Agreste Pernambucano apresenta uma alta capacidade de gerar novos postos de trabalho e que os segmentos, têxtil e de confecção, são relativamente estáveis no aspecto mobilidade, mas vem recebendo um contingente significante de trabalhadores de outras atividades econômicas predominantes na região.</w:t>
      </w:r>
    </w:p>
    <w:p w:rsidR="00F572C9" w:rsidRPr="00742642" w:rsidRDefault="00F572C9" w:rsidP="00742642">
      <w:pPr>
        <w:jc w:val="both"/>
        <w:rPr>
          <w:lang w:eastAsia="pt-BR"/>
        </w:rPr>
      </w:pPr>
    </w:p>
    <w:p w:rsidR="00095653" w:rsidRPr="00742642" w:rsidRDefault="00095653" w:rsidP="00742642">
      <w:pPr>
        <w:jc w:val="both"/>
        <w:rPr>
          <w:lang w:eastAsia="pt-BR"/>
        </w:rPr>
      </w:pPr>
      <w:r w:rsidRPr="00742642">
        <w:rPr>
          <w:b/>
          <w:lang w:eastAsia="pt-BR"/>
        </w:rPr>
        <w:t>Palavras-chaves:</w:t>
      </w:r>
      <w:r w:rsidRPr="00742642">
        <w:rPr>
          <w:lang w:eastAsia="pt-BR"/>
        </w:rPr>
        <w:t xml:space="preserve"> Indústria de transformação, mercado de trabalho, rotatividade</w:t>
      </w:r>
    </w:p>
    <w:p w:rsidR="00095653" w:rsidRPr="00742642" w:rsidRDefault="00095653" w:rsidP="00742642">
      <w:pPr>
        <w:jc w:val="both"/>
        <w:rPr>
          <w:rFonts w:ascii="Georgia" w:hAnsi="Georgia" w:cs="Arial"/>
          <w:lang w:eastAsia="pt-BR"/>
        </w:rPr>
      </w:pPr>
    </w:p>
    <w:p w:rsidR="00EC3D95" w:rsidRPr="00742642" w:rsidRDefault="00EC3D95" w:rsidP="00742642">
      <w:pPr>
        <w:jc w:val="both"/>
        <w:rPr>
          <w:rFonts w:ascii="Georgia" w:hAnsi="Georgia" w:cs="Arial"/>
          <w:lang w:eastAsia="pt-BR"/>
        </w:rPr>
      </w:pPr>
    </w:p>
    <w:p w:rsidR="00095653" w:rsidRPr="00742642" w:rsidRDefault="00095653" w:rsidP="00742642">
      <w:pPr>
        <w:tabs>
          <w:tab w:val="left" w:pos="3402"/>
        </w:tabs>
        <w:jc w:val="both"/>
        <w:rPr>
          <w:b/>
          <w:lang w:val="en-US" w:eastAsia="pt-BR"/>
        </w:rPr>
      </w:pPr>
      <w:r w:rsidRPr="00742642">
        <w:rPr>
          <w:b/>
          <w:lang w:val="en-US" w:eastAsia="pt-BR"/>
        </w:rPr>
        <w:t>Abstract</w:t>
      </w:r>
    </w:p>
    <w:p w:rsidR="00F572C9" w:rsidRPr="00742642" w:rsidRDefault="006D3BEC" w:rsidP="00742642">
      <w:pPr>
        <w:tabs>
          <w:tab w:val="left" w:pos="3402"/>
        </w:tabs>
        <w:jc w:val="both"/>
        <w:rPr>
          <w:lang w:val="en-US" w:eastAsia="pt-BR"/>
        </w:rPr>
      </w:pPr>
      <w:r w:rsidRPr="00742642">
        <w:rPr>
          <w:lang w:val="en-US" w:eastAsia="pt-BR"/>
        </w:rPr>
        <w:t xml:space="preserve">Because of the large economic potential that the </w:t>
      </w:r>
      <w:proofErr w:type="spellStart"/>
      <w:r w:rsidRPr="00742642">
        <w:rPr>
          <w:lang w:val="en-US" w:eastAsia="pt-BR"/>
        </w:rPr>
        <w:t>Agreste</w:t>
      </w:r>
      <w:proofErr w:type="spellEnd"/>
      <w:r w:rsidRPr="00742642">
        <w:rPr>
          <w:lang w:val="en-US" w:eastAsia="pt-BR"/>
        </w:rPr>
        <w:t xml:space="preserve"> of </w:t>
      </w:r>
      <w:proofErr w:type="spellStart"/>
      <w:r w:rsidRPr="00742642">
        <w:rPr>
          <w:lang w:val="en-US" w:eastAsia="pt-BR"/>
        </w:rPr>
        <w:t>Pernambuco</w:t>
      </w:r>
      <w:proofErr w:type="spellEnd"/>
      <w:r w:rsidRPr="00742642">
        <w:rPr>
          <w:lang w:val="en-US" w:eastAsia="pt-BR"/>
        </w:rPr>
        <w:t xml:space="preserve"> presented in the 2000s, due in particular the growth of processing industry, Textile and Apparel, the research presents an analysis of the characteristics of the labor market and labor the formal labor sector, its growth and intersectoral mobility. To do so, from the data of RAISMIGRA-</w:t>
      </w:r>
      <w:proofErr w:type="spellStart"/>
      <w:r w:rsidRPr="00742642">
        <w:rPr>
          <w:lang w:val="en-US" w:eastAsia="pt-BR"/>
        </w:rPr>
        <w:t>Mte</w:t>
      </w:r>
      <w:proofErr w:type="spellEnd"/>
      <w:r w:rsidRPr="00742642">
        <w:rPr>
          <w:lang w:val="en-US" w:eastAsia="pt-BR"/>
        </w:rPr>
        <w:t>, years 1995, 2000 and 2008, it is a study on the impacts of job turnover, especially in wages, using a regression model by OLS log-</w:t>
      </w:r>
      <w:proofErr w:type="spellStart"/>
      <w:r w:rsidRPr="00742642">
        <w:rPr>
          <w:lang w:val="en-US" w:eastAsia="pt-BR"/>
        </w:rPr>
        <w:t>lin</w:t>
      </w:r>
      <w:proofErr w:type="spellEnd"/>
      <w:r w:rsidRPr="00742642">
        <w:rPr>
          <w:lang w:val="en-US" w:eastAsia="pt-BR"/>
        </w:rPr>
        <w:t xml:space="preserve"> and Effects fixed. Additionally, an interaction matrix </w:t>
      </w:r>
      <w:proofErr w:type="gramStart"/>
      <w:r w:rsidRPr="00742642">
        <w:rPr>
          <w:lang w:val="en-US" w:eastAsia="pt-BR"/>
        </w:rPr>
        <w:t>was constructed</w:t>
      </w:r>
      <w:proofErr w:type="gramEnd"/>
      <w:r w:rsidRPr="00742642">
        <w:rPr>
          <w:lang w:val="en-US" w:eastAsia="pt-BR"/>
        </w:rPr>
        <w:t xml:space="preserve"> to verify the economic sectors which are more stable and which have a higher rate of disconnections. The survey results showed that the returns of turnover on wages are decreasing, the </w:t>
      </w:r>
      <w:proofErr w:type="spellStart"/>
      <w:r w:rsidRPr="00742642">
        <w:rPr>
          <w:lang w:val="en-US" w:eastAsia="pt-BR"/>
        </w:rPr>
        <w:t>Agreste</w:t>
      </w:r>
      <w:proofErr w:type="spellEnd"/>
      <w:r w:rsidRPr="00742642">
        <w:rPr>
          <w:lang w:val="en-US" w:eastAsia="pt-BR"/>
        </w:rPr>
        <w:t xml:space="preserve"> region of </w:t>
      </w:r>
      <w:proofErr w:type="spellStart"/>
      <w:r w:rsidRPr="00742642">
        <w:rPr>
          <w:lang w:val="en-US" w:eastAsia="pt-BR"/>
        </w:rPr>
        <w:t>Pernambuco</w:t>
      </w:r>
      <w:proofErr w:type="spellEnd"/>
      <w:r w:rsidRPr="00742642">
        <w:rPr>
          <w:lang w:val="en-US" w:eastAsia="pt-BR"/>
        </w:rPr>
        <w:t xml:space="preserve"> has a high capacity to generate new jobs and that the segments, textiles and clothing, are relatively stable in the mobility aspect, but has received a significant contingent of workers in other economic activities prevailing in the region.</w:t>
      </w:r>
    </w:p>
    <w:p w:rsidR="006D3BEC" w:rsidRPr="00742642" w:rsidRDefault="006D3BEC" w:rsidP="00742642">
      <w:pPr>
        <w:tabs>
          <w:tab w:val="left" w:pos="3402"/>
        </w:tabs>
        <w:jc w:val="both"/>
        <w:rPr>
          <w:lang w:val="en-US" w:eastAsia="pt-BR"/>
        </w:rPr>
      </w:pPr>
    </w:p>
    <w:p w:rsidR="00095653" w:rsidRPr="00742642" w:rsidRDefault="00095653" w:rsidP="00742642">
      <w:pPr>
        <w:tabs>
          <w:tab w:val="left" w:pos="3402"/>
        </w:tabs>
        <w:jc w:val="both"/>
        <w:rPr>
          <w:b/>
          <w:lang w:val="en-US" w:eastAsia="pt-BR"/>
        </w:rPr>
      </w:pPr>
      <w:r w:rsidRPr="00742642">
        <w:rPr>
          <w:b/>
          <w:lang w:val="en-US" w:eastAsia="pt-BR"/>
        </w:rPr>
        <w:t xml:space="preserve">Key Words: </w:t>
      </w:r>
      <w:r w:rsidRPr="00742642">
        <w:rPr>
          <w:lang w:val="en-US" w:eastAsia="pt-BR"/>
        </w:rPr>
        <w:t>Manufacturing industry, labor market, turnover</w:t>
      </w:r>
    </w:p>
    <w:p w:rsidR="00AB0B3E" w:rsidRPr="00742642" w:rsidRDefault="00AB0B3E" w:rsidP="00742642">
      <w:pPr>
        <w:tabs>
          <w:tab w:val="left" w:pos="3402"/>
        </w:tabs>
        <w:jc w:val="both"/>
        <w:rPr>
          <w:b/>
          <w:lang w:val="en-US" w:eastAsia="pt-BR"/>
        </w:rPr>
      </w:pPr>
    </w:p>
    <w:p w:rsidR="00095653" w:rsidRPr="00742642" w:rsidRDefault="00F572C9" w:rsidP="00742642">
      <w:pPr>
        <w:rPr>
          <w:caps/>
          <w:lang w:eastAsia="pt-BR"/>
        </w:rPr>
      </w:pPr>
      <w:r w:rsidRPr="00742642">
        <w:rPr>
          <w:b/>
          <w:caps/>
          <w:lang w:eastAsia="pt-BR"/>
        </w:rPr>
        <w:lastRenderedPageBreak/>
        <w:t>1. Introdução</w:t>
      </w:r>
      <w:r w:rsidR="00095653" w:rsidRPr="00742642">
        <w:rPr>
          <w:b/>
          <w:caps/>
          <w:lang w:eastAsia="pt-BR"/>
        </w:rPr>
        <w:t xml:space="preserve"> </w:t>
      </w:r>
    </w:p>
    <w:p w:rsidR="00095653" w:rsidRPr="00742642" w:rsidRDefault="00095653" w:rsidP="00742642">
      <w:pPr>
        <w:widowControl w:val="0"/>
        <w:overflowPunct w:val="0"/>
        <w:autoSpaceDE w:val="0"/>
        <w:autoSpaceDN w:val="0"/>
        <w:adjustRightInd w:val="0"/>
        <w:jc w:val="both"/>
        <w:rPr>
          <w:lang w:eastAsia="pt-BR"/>
        </w:rPr>
      </w:pP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A reestruturação produtiva trazida por novas tendências emergentes no mercado tem imposto fortes modificações na dinâmica territorial, que por serem complexas, necessitam de uma análise pormenorizada. A visão arcaica do padrão centro-periferia, onde as metrópoles atuam como grandes centros produtivos têm sofrido duras críticas nos últimos anos, uma vez que as zonas periféricas do território já não são consideradas apenas consumidoras de produtos manufaturados (BECKER, 2004). </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O fato é que com crescimento urbano recente, o adensamento urbano tem contribuído para a elevação do custo de produção nas grandes cidades com a exaustão da ocupação territorial o que tem elevado, entre outros fatores, o preço do aluguel dos imóveis. Deste modo, um possível resultado é a desconcentração produtiva, no sentido do centro para o interior dos estados brasileiros (CANO, 1998). Para o recorte regional deste trabalho, o Agreste Pernambucano, vale salientar que a redução dos custos de transporte com a duplicação da BR-202 que liga a região a capital do Estado, Recife, deve ter contribuído para este movimento de inversão.</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 Em virtude disso, o estudo dos fluxos migratórios de trabalhadores torna-se necessário para compreensão da economia local, a fim de verificar a capacidade de realocação dos recursos e o processo de </w:t>
      </w:r>
      <w:proofErr w:type="spellStart"/>
      <w:r w:rsidRPr="00742642">
        <w:rPr>
          <w:lang w:eastAsia="pt-BR"/>
        </w:rPr>
        <w:t>desmetropolização</w:t>
      </w:r>
      <w:proofErr w:type="spellEnd"/>
      <w:r w:rsidRPr="00742642">
        <w:rPr>
          <w:lang w:eastAsia="pt-BR"/>
        </w:rPr>
        <w:t>. Sob a ótica do trabalhador, um mercado de trabalho muito flexível pode gerar insegurança devido ao pouco tempo de permanência no emprego. Em contraposição, do ponto de vista do empresário, quanto mais flexível o mercado, maior a eficiência alocativa dos recursos, partindo-se do pressuposto que as vagas nos postos de trabalho são rapidamente preenchidas (RIBEIRO, 2010).</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 Apesar de contribuir consideravelmente para maior eficiência econômica, a intensa mobilidade de trabalhadores pode ter efeitos variados sobre a qualidade do emprego. As dimensões desses efeitos podem ser verificadas pelo baixo investimento em treinamento e baixo grau de compromisso entre trabalhadores e firmas. Com uma dinamização da mão-de-obra elevada e um investimento em qualificação pequeno, a produtividade não atinge um nível ótimo e a tendência é haver uma baixa remuneração (BLUMEN; KOOGAN; MCCARTHY</w:t>
      </w:r>
      <w:r w:rsidR="006F4016" w:rsidRPr="00742642">
        <w:rPr>
          <w:lang w:eastAsia="pt-BR"/>
        </w:rPr>
        <w:t>, 1955</w:t>
      </w:r>
      <w:r w:rsidRPr="00742642">
        <w:rPr>
          <w:lang w:eastAsia="pt-BR"/>
        </w:rPr>
        <w:t>).</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 Do mesmo modo, um grande dinamismo do emprego incentiva a informalização das relações de trabalho, ou seja, incentiva o pouco compromisso entre trabalhadores e empresas (GONZAGA, 1998). Isso ocorre por que com a instabilidade do trabalhador no emprego as empresas optam pela informalidade para poupar custos ao demitir, que são menores quando não há carteira assinada. Um aspecto questionável é por que mesmo com tantos pontos negativos, a mobilidade de mão-de-obra ainda é bastante elevada em algumas indústrias no Agreste Pernambucano, como será mostrado a seguir.</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 A resposta pode ser encontrada nas leis trabalhistas brasileiras. Para o trabalhador a mudança de emprego ou </w:t>
      </w:r>
      <w:proofErr w:type="spellStart"/>
      <w:r w:rsidRPr="00742642">
        <w:rPr>
          <w:i/>
          <w:lang w:eastAsia="pt-BR"/>
        </w:rPr>
        <w:t>job-change</w:t>
      </w:r>
      <w:proofErr w:type="spellEnd"/>
      <w:r w:rsidRPr="00742642">
        <w:rPr>
          <w:lang w:eastAsia="pt-BR"/>
        </w:rPr>
        <w:t xml:space="preserve"> é incentivada pelos benefícios assegurados pela legislação, garantindo uma remuneração extra (seguro-desemprego, FGTS, </w:t>
      </w:r>
      <w:proofErr w:type="spellStart"/>
      <w:r w:rsidRPr="00742642">
        <w:rPr>
          <w:lang w:eastAsia="pt-BR"/>
        </w:rPr>
        <w:t>etc</w:t>
      </w:r>
      <w:proofErr w:type="spellEnd"/>
      <w:r w:rsidRPr="00742642">
        <w:rPr>
          <w:lang w:eastAsia="pt-BR"/>
        </w:rPr>
        <w:t>) em caso de demissão. Para as empresas, a própria legislação brasileira não possui mecanismos de ajuste para períodos de baixo faturamento e, de certa forma, incentiva a demissão de trabalhadores nessas épocas.</w:t>
      </w:r>
    </w:p>
    <w:p w:rsidR="00095653" w:rsidRPr="00742642" w:rsidRDefault="00095653" w:rsidP="00742642">
      <w:pPr>
        <w:widowControl w:val="0"/>
        <w:overflowPunct w:val="0"/>
        <w:autoSpaceDE w:val="0"/>
        <w:autoSpaceDN w:val="0"/>
        <w:adjustRightInd w:val="0"/>
        <w:ind w:firstLine="567"/>
        <w:jc w:val="both"/>
        <w:rPr>
          <w:lang w:eastAsia="pt-BR"/>
        </w:rPr>
      </w:pPr>
      <w:r w:rsidRPr="00742642">
        <w:rPr>
          <w:lang w:eastAsia="pt-BR"/>
        </w:rPr>
        <w:t xml:space="preserve"> Em tempos de crises econômicas, causadas por quedas da proteção tarifária ou apreciação cambial, a flexibilidade do emprego é desejável para que haja remanejamento do pessoal de setores negativamente atingidos para setores positivamente atingidos, apontando que a mobilidade também p</w:t>
      </w:r>
      <w:r w:rsidR="00805569" w:rsidRPr="00742642">
        <w:rPr>
          <w:lang w:eastAsia="pt-BR"/>
        </w:rPr>
        <w:t xml:space="preserve">ode ser benéfica. Segundo Amadeo </w:t>
      </w:r>
      <w:r w:rsidR="00805569" w:rsidRPr="00742642">
        <w:rPr>
          <w:i/>
          <w:lang w:eastAsia="pt-BR"/>
        </w:rPr>
        <w:t>et. al.</w:t>
      </w:r>
      <w:r w:rsidRPr="00742642">
        <w:rPr>
          <w:lang w:eastAsia="pt-BR"/>
        </w:rPr>
        <w:t xml:space="preserve"> (1994), o mercado de trabalho brasileiro possui uma alta capacidade de gerar novos postos de trabalho, mas apresenta, em média, baixa qualidade de empregos. </w:t>
      </w:r>
    </w:p>
    <w:p w:rsidR="00095653" w:rsidRPr="00742642" w:rsidRDefault="00095653" w:rsidP="00742642">
      <w:pPr>
        <w:widowControl w:val="0"/>
        <w:overflowPunct w:val="0"/>
        <w:autoSpaceDE w:val="0"/>
        <w:autoSpaceDN w:val="0"/>
        <w:adjustRightInd w:val="0"/>
        <w:ind w:firstLine="567"/>
        <w:jc w:val="both"/>
        <w:rPr>
          <w:b/>
          <w:bCs/>
          <w:lang w:eastAsia="pt-BR"/>
        </w:rPr>
      </w:pPr>
      <w:r w:rsidRPr="00742642">
        <w:rPr>
          <w:lang w:eastAsia="pt-BR"/>
        </w:rPr>
        <w:t xml:space="preserve">Partindo desses pressupostos, foram coletadas informações sobre o mercado de trabalho da mesorregião Agreste de Pernambuco para os anos de 1995, 2000 e 2008, junto a RAISMIGRA do Ministério do Trabalho e do Emprego (MTE), a qual dispõe de informações </w:t>
      </w:r>
      <w:r w:rsidRPr="00742642">
        <w:rPr>
          <w:lang w:eastAsia="pt-BR"/>
        </w:rPr>
        <w:lastRenderedPageBreak/>
        <w:t>do trabalhador e do seu trabalho para uma série de tempo. Em posse desses dados foi possível traçar um perfil do trabalhador assalariado e do mercado têxtil e de confecções ao longo desses anos, além da construção de uma matriz de interação para verificação dos setores “estáveis”. Além disso, verificou-se a influência que a rotatividade do emprego exerce sobre os salários, aplicando um modelo de regressão estimado a partir do método MQO</w:t>
      </w:r>
      <w:r w:rsidR="000E2D16" w:rsidRPr="00742642">
        <w:rPr>
          <w:lang w:eastAsia="pt-BR"/>
        </w:rPr>
        <w:t xml:space="preserve"> e de Efeitos Fixos</w:t>
      </w:r>
      <w:r w:rsidRPr="00742642">
        <w:rPr>
          <w:lang w:eastAsia="pt-BR"/>
        </w:rPr>
        <w:t>, conforme veremos mais adiante.</w:t>
      </w:r>
      <w:r w:rsidRPr="00742642">
        <w:rPr>
          <w:b/>
          <w:bCs/>
          <w:lang w:eastAsia="pt-BR"/>
        </w:rPr>
        <w:t xml:space="preserve"> </w:t>
      </w:r>
    </w:p>
    <w:p w:rsidR="00095653" w:rsidRPr="00742642" w:rsidRDefault="00095653" w:rsidP="00742642">
      <w:pPr>
        <w:widowControl w:val="0"/>
        <w:overflowPunct w:val="0"/>
        <w:autoSpaceDE w:val="0"/>
        <w:autoSpaceDN w:val="0"/>
        <w:adjustRightInd w:val="0"/>
        <w:jc w:val="both"/>
        <w:rPr>
          <w:b/>
          <w:bCs/>
          <w:lang w:eastAsia="pt-BR"/>
        </w:rPr>
      </w:pPr>
    </w:p>
    <w:p w:rsidR="00A65FD7" w:rsidRPr="00742642" w:rsidRDefault="00A65FD7" w:rsidP="00742642">
      <w:pPr>
        <w:widowControl w:val="0"/>
        <w:overflowPunct w:val="0"/>
        <w:autoSpaceDE w:val="0"/>
        <w:autoSpaceDN w:val="0"/>
        <w:adjustRightInd w:val="0"/>
        <w:jc w:val="both"/>
        <w:rPr>
          <w:b/>
          <w:bCs/>
          <w:lang w:eastAsia="pt-BR"/>
        </w:rPr>
      </w:pPr>
      <w:r w:rsidRPr="00742642">
        <w:rPr>
          <w:b/>
          <w:bCs/>
          <w:lang w:eastAsia="pt-BR"/>
        </w:rPr>
        <w:t>2. REVISÃO DA LITERATURA</w:t>
      </w:r>
    </w:p>
    <w:p w:rsidR="00A65FD7" w:rsidRPr="00742642" w:rsidRDefault="00A65FD7" w:rsidP="00742642">
      <w:pPr>
        <w:widowControl w:val="0"/>
        <w:overflowPunct w:val="0"/>
        <w:autoSpaceDE w:val="0"/>
        <w:autoSpaceDN w:val="0"/>
        <w:adjustRightInd w:val="0"/>
        <w:jc w:val="both"/>
        <w:rPr>
          <w:b/>
          <w:bCs/>
          <w:lang w:eastAsia="pt-BR"/>
        </w:rPr>
      </w:pPr>
    </w:p>
    <w:p w:rsidR="00A65FD7" w:rsidRPr="00742642" w:rsidRDefault="00D205C6" w:rsidP="00742642">
      <w:pPr>
        <w:widowControl w:val="0"/>
        <w:overflowPunct w:val="0"/>
        <w:autoSpaceDE w:val="0"/>
        <w:autoSpaceDN w:val="0"/>
        <w:adjustRightInd w:val="0"/>
        <w:ind w:firstLine="708"/>
        <w:jc w:val="both"/>
        <w:rPr>
          <w:lang w:val="pt-PT"/>
        </w:rPr>
      </w:pPr>
      <w:r w:rsidRPr="00742642">
        <w:rPr>
          <w:bCs/>
          <w:lang w:eastAsia="pt-BR"/>
        </w:rPr>
        <w:t xml:space="preserve">Dentre os estudos internacionais que abordam a relação entre rotatividade no emprego e salários, o trabalho de </w:t>
      </w:r>
      <w:proofErr w:type="spellStart"/>
      <w:r w:rsidRPr="00742642">
        <w:rPr>
          <w:bCs/>
          <w:lang w:eastAsia="pt-BR"/>
        </w:rPr>
        <w:t>Ba</w:t>
      </w:r>
      <w:r w:rsidR="0040603E" w:rsidRPr="00742642">
        <w:rPr>
          <w:bCs/>
          <w:lang w:eastAsia="pt-BR"/>
        </w:rPr>
        <w:t>r</w:t>
      </w:r>
      <w:r w:rsidRPr="00742642">
        <w:rPr>
          <w:bCs/>
          <w:lang w:eastAsia="pt-BR"/>
        </w:rPr>
        <w:t>tel</w:t>
      </w:r>
      <w:proofErr w:type="spellEnd"/>
      <w:r w:rsidRPr="00742642">
        <w:rPr>
          <w:bCs/>
          <w:lang w:eastAsia="pt-BR"/>
        </w:rPr>
        <w:t xml:space="preserve"> e </w:t>
      </w:r>
      <w:proofErr w:type="spellStart"/>
      <w:r w:rsidRPr="00742642">
        <w:rPr>
          <w:bCs/>
          <w:lang w:eastAsia="pt-BR"/>
        </w:rPr>
        <w:t>Borjas</w:t>
      </w:r>
      <w:proofErr w:type="spellEnd"/>
      <w:r w:rsidRPr="00742642">
        <w:rPr>
          <w:bCs/>
          <w:lang w:eastAsia="pt-BR"/>
        </w:rPr>
        <w:t xml:space="preserve"> (1981) </w:t>
      </w:r>
      <w:r w:rsidR="00E908CE" w:rsidRPr="00742642">
        <w:rPr>
          <w:bCs/>
          <w:lang w:eastAsia="pt-BR"/>
        </w:rPr>
        <w:t>identificou</w:t>
      </w:r>
      <w:r w:rsidRPr="00742642">
        <w:rPr>
          <w:bCs/>
          <w:lang w:eastAsia="pt-BR"/>
        </w:rPr>
        <w:t xml:space="preserve"> que indivíduos que permaneceram no emprego no período de um ano tiveram maior crescimento salarial, </w:t>
      </w:r>
      <w:proofErr w:type="spellStart"/>
      <w:r w:rsidRPr="00742642">
        <w:rPr>
          <w:bCs/>
          <w:i/>
          <w:lang w:eastAsia="pt-BR"/>
        </w:rPr>
        <w:t>ceteris</w:t>
      </w:r>
      <w:proofErr w:type="spellEnd"/>
      <w:r w:rsidRPr="00742642">
        <w:rPr>
          <w:bCs/>
          <w:i/>
          <w:lang w:eastAsia="pt-BR"/>
        </w:rPr>
        <w:t xml:space="preserve"> </w:t>
      </w:r>
      <w:proofErr w:type="spellStart"/>
      <w:r w:rsidRPr="00742642">
        <w:rPr>
          <w:bCs/>
          <w:i/>
          <w:lang w:eastAsia="pt-BR"/>
        </w:rPr>
        <w:t>paribus</w:t>
      </w:r>
      <w:proofErr w:type="spellEnd"/>
      <w:r w:rsidRPr="00742642">
        <w:rPr>
          <w:bCs/>
          <w:lang w:eastAsia="pt-BR"/>
        </w:rPr>
        <w:t xml:space="preserve">, e que </w:t>
      </w:r>
      <w:r w:rsidRPr="00742642">
        <w:rPr>
          <w:lang w:val="pt-PT"/>
        </w:rPr>
        <w:t>mesmo quando a experiência total da força de trabalho é mantida constante, existe uma forte correlação positiva entre o tempo de permanência no emprego e o crescimento salarial total. Dessa forma, os indivíduos que mudam frequentemente de emprego mais tarde experimentam um menor crescimento geral dos salários.</w:t>
      </w:r>
    </w:p>
    <w:p w:rsidR="0051457C" w:rsidRPr="00742642" w:rsidRDefault="00B63011" w:rsidP="00742642">
      <w:pPr>
        <w:widowControl w:val="0"/>
        <w:overflowPunct w:val="0"/>
        <w:autoSpaceDE w:val="0"/>
        <w:autoSpaceDN w:val="0"/>
        <w:adjustRightInd w:val="0"/>
        <w:ind w:firstLine="708"/>
        <w:jc w:val="both"/>
        <w:rPr>
          <w:lang w:val="pt-PT"/>
        </w:rPr>
      </w:pPr>
      <w:r w:rsidRPr="00742642">
        <w:rPr>
          <w:lang w:val="pt-PT"/>
        </w:rPr>
        <w:t xml:space="preserve">Lambert, Hogan e Barton (2001), usando uma amostra de trabalhadores americanos, tentaram identificar os fatores que influenciam na decisão de mudança de emprego do indivíduo e encontraram que a satisfação no emprego é um antecedente fundamental para escolha do trabalhador, sendo influenciada mais pelo ambiente de trabalho do que por caracteristicas demográficas. </w:t>
      </w:r>
    </w:p>
    <w:p w:rsidR="00D205C6" w:rsidRPr="00742642" w:rsidRDefault="00A41847" w:rsidP="00742642">
      <w:pPr>
        <w:widowControl w:val="0"/>
        <w:overflowPunct w:val="0"/>
        <w:autoSpaceDE w:val="0"/>
        <w:autoSpaceDN w:val="0"/>
        <w:adjustRightInd w:val="0"/>
        <w:ind w:firstLine="708"/>
        <w:jc w:val="both"/>
      </w:pPr>
      <w:proofErr w:type="spellStart"/>
      <w:r w:rsidRPr="00742642">
        <w:t>Munasinghe</w:t>
      </w:r>
      <w:proofErr w:type="spellEnd"/>
      <w:r w:rsidRPr="00742642">
        <w:t xml:space="preserve"> e </w:t>
      </w:r>
      <w:proofErr w:type="spellStart"/>
      <w:r w:rsidRPr="00742642">
        <w:t>Sigman</w:t>
      </w:r>
      <w:proofErr w:type="spellEnd"/>
      <w:r w:rsidRPr="00742642">
        <w:t xml:space="preserve"> (2004) </w:t>
      </w:r>
      <w:r w:rsidR="00E908CE" w:rsidRPr="00742642">
        <w:t>observaram</w:t>
      </w:r>
      <w:r w:rsidRPr="00742642">
        <w:t xml:space="preserve"> que trabalhadores com histórico de mudança de emprego menos frequente ganham salários mais altos e mudam menos de emprego do que seus semelhantes mais móveis. Esses efeitos foram mais fortes entre os trabalhadores mais experientes e mostraram-se robustos em várias especificações do modelo.</w:t>
      </w:r>
    </w:p>
    <w:p w:rsidR="003B2B25" w:rsidRPr="00742642" w:rsidRDefault="00E801D5" w:rsidP="00742642">
      <w:pPr>
        <w:widowControl w:val="0"/>
        <w:overflowPunct w:val="0"/>
        <w:autoSpaceDE w:val="0"/>
        <w:autoSpaceDN w:val="0"/>
        <w:adjustRightInd w:val="0"/>
        <w:ind w:firstLine="708"/>
        <w:jc w:val="both"/>
        <w:rPr>
          <w:lang w:val="pt-PT"/>
        </w:rPr>
      </w:pPr>
      <w:proofErr w:type="spellStart"/>
      <w:r w:rsidRPr="00742642">
        <w:t>Hijzen</w:t>
      </w:r>
      <w:proofErr w:type="spellEnd"/>
      <w:r w:rsidRPr="00742642">
        <w:t xml:space="preserve"> </w:t>
      </w:r>
      <w:r w:rsidRPr="00742642">
        <w:rPr>
          <w:i/>
        </w:rPr>
        <w:t>et.</w:t>
      </w:r>
      <w:r w:rsidR="00B245BB" w:rsidRPr="00742642">
        <w:rPr>
          <w:i/>
        </w:rPr>
        <w:t>al.</w:t>
      </w:r>
      <w:r w:rsidR="00D839D2" w:rsidRPr="00742642">
        <w:t xml:space="preserve"> (2011</w:t>
      </w:r>
      <w:r w:rsidR="00B245BB" w:rsidRPr="00742642">
        <w:t>) analisaram o impacto do comércio de serviços no mercado de trabalho</w:t>
      </w:r>
      <w:r w:rsidR="00E27ACE" w:rsidRPr="00742642">
        <w:t xml:space="preserve"> usando dados do Reino Unido. Como resultado, os autores </w:t>
      </w:r>
      <w:r w:rsidR="00ED0A20" w:rsidRPr="00742642">
        <w:rPr>
          <w:lang w:val="pt-PT"/>
        </w:rPr>
        <w:t>não encontraram</w:t>
      </w:r>
      <w:r w:rsidR="00E27ACE" w:rsidRPr="00742642">
        <w:rPr>
          <w:lang w:val="pt-PT"/>
        </w:rPr>
        <w:t xml:space="preserve"> nenhuma evidência de que a importação de serviços intermediários esteja associada a perdas de postos de trabalho ou maior mudança de emprego</w:t>
      </w:r>
      <w:r w:rsidR="00ED0A20" w:rsidRPr="00742642">
        <w:rPr>
          <w:lang w:val="pt-PT"/>
        </w:rPr>
        <w:t>,</w:t>
      </w:r>
      <w:r w:rsidR="00D90723" w:rsidRPr="00742642">
        <w:rPr>
          <w:lang w:val="pt-PT"/>
        </w:rPr>
        <w:t xml:space="preserve"> e que as empresas que começam a importar serviços intermediários experimenta</w:t>
      </w:r>
      <w:r w:rsidR="00ED0A20" w:rsidRPr="00742642">
        <w:rPr>
          <w:lang w:val="pt-PT"/>
        </w:rPr>
        <w:t>ra</w:t>
      </w:r>
      <w:r w:rsidR="00D90723" w:rsidRPr="00742642">
        <w:rPr>
          <w:lang w:val="pt-PT"/>
        </w:rPr>
        <w:t>m crescimento de emprego mais rápido do que empresas equivalentes que não importaram.</w:t>
      </w:r>
    </w:p>
    <w:p w:rsidR="009068E4" w:rsidRPr="00742642" w:rsidRDefault="009068E4" w:rsidP="00742642">
      <w:pPr>
        <w:widowControl w:val="0"/>
        <w:overflowPunct w:val="0"/>
        <w:autoSpaceDE w:val="0"/>
        <w:autoSpaceDN w:val="0"/>
        <w:adjustRightInd w:val="0"/>
        <w:ind w:firstLine="708"/>
        <w:jc w:val="both"/>
        <w:rPr>
          <w:lang w:val="pt-PT"/>
        </w:rPr>
      </w:pPr>
      <w:r w:rsidRPr="00742642">
        <w:t xml:space="preserve">Por sua </w:t>
      </w:r>
      <w:proofErr w:type="gramStart"/>
      <w:r w:rsidRPr="00742642">
        <w:t xml:space="preserve">vez, </w:t>
      </w:r>
      <w:r w:rsidRPr="00742642">
        <w:rPr>
          <w:lang w:val="pt-PT"/>
        </w:rPr>
        <w:t xml:space="preserve"> Felps</w:t>
      </w:r>
      <w:proofErr w:type="gramEnd"/>
      <w:r w:rsidRPr="00742642">
        <w:rPr>
          <w:lang w:val="pt-PT"/>
        </w:rPr>
        <w:t xml:space="preserve"> </w:t>
      </w:r>
      <w:r w:rsidRPr="00742642">
        <w:rPr>
          <w:i/>
          <w:lang w:val="pt-PT"/>
        </w:rPr>
        <w:t>et.al.</w:t>
      </w:r>
      <w:r w:rsidRPr="00742642">
        <w:rPr>
          <w:lang w:val="pt-PT"/>
        </w:rPr>
        <w:t xml:space="preserve"> (2009), através de análise multinível, estudaram o “contágio” de rotatividade, isto é, como o comportamento</w:t>
      </w:r>
      <w:r w:rsidR="00C9460C" w:rsidRPr="00742642">
        <w:rPr>
          <w:lang w:val="pt-PT"/>
        </w:rPr>
        <w:t xml:space="preserve"> de trabalho e o comportamento de pesquisa de emprego</w:t>
      </w:r>
      <w:r w:rsidRPr="00742642">
        <w:rPr>
          <w:lang w:val="pt-PT"/>
        </w:rPr>
        <w:t xml:space="preserve"> de colegas influenciam nas decis</w:t>
      </w:r>
      <w:r w:rsidR="00C9460C" w:rsidRPr="00742642">
        <w:rPr>
          <w:lang w:val="pt-PT"/>
        </w:rPr>
        <w:t>ões dos trabalhadores de sair do emprego</w:t>
      </w:r>
      <w:r w:rsidRPr="00742642">
        <w:rPr>
          <w:lang w:val="pt-PT"/>
        </w:rPr>
        <w:t>.</w:t>
      </w:r>
      <w:r w:rsidR="00C9460C" w:rsidRPr="00742642">
        <w:rPr>
          <w:lang w:val="pt-PT"/>
        </w:rPr>
        <w:t xml:space="preserve"> Eles encontraram que, tanto o comportamento de trabalho como o comportamento de pesquisa de emprego são criticos na explicação da rotatividade.</w:t>
      </w:r>
    </w:p>
    <w:p w:rsidR="00D85C4F" w:rsidRPr="00742642" w:rsidRDefault="002F585D" w:rsidP="00742642">
      <w:pPr>
        <w:pStyle w:val="PargrafodaLista"/>
        <w:spacing w:line="240" w:lineRule="auto"/>
        <w:ind w:left="0" w:firstLine="708"/>
        <w:jc w:val="both"/>
        <w:rPr>
          <w:rFonts w:ascii="Times New Roman" w:hAnsi="Times New Roman"/>
          <w:sz w:val="24"/>
          <w:szCs w:val="24"/>
          <w:lang w:eastAsia="pt-BR"/>
        </w:rPr>
      </w:pPr>
      <w:r w:rsidRPr="00742642">
        <w:rPr>
          <w:rFonts w:ascii="Times New Roman" w:hAnsi="Times New Roman"/>
          <w:sz w:val="24"/>
          <w:szCs w:val="24"/>
          <w:lang w:val="pt-PT"/>
        </w:rPr>
        <w:t>Os</w:t>
      </w:r>
      <w:r w:rsidR="00D85C4F" w:rsidRPr="00742642">
        <w:rPr>
          <w:rFonts w:ascii="Times New Roman" w:hAnsi="Times New Roman"/>
          <w:sz w:val="24"/>
          <w:szCs w:val="24"/>
          <w:lang w:val="pt-PT"/>
        </w:rPr>
        <w:t xml:space="preserve"> trabalhos nacionais destacam, dentre outros fatores, os incentivos da legislação brasileira como fator determinante da alta rotatividade, devido ao baixo grau de cumprimento e pouca fiscalização (</w:t>
      </w:r>
      <w:r w:rsidR="00D85C4F" w:rsidRPr="00742642">
        <w:rPr>
          <w:rFonts w:ascii="Times New Roman" w:hAnsi="Times New Roman"/>
          <w:caps/>
          <w:sz w:val="24"/>
          <w:szCs w:val="24"/>
          <w:lang w:val="pt-PT"/>
        </w:rPr>
        <w:t>Gonzaga; Pinto</w:t>
      </w:r>
      <w:r w:rsidR="00D85C4F" w:rsidRPr="00742642">
        <w:rPr>
          <w:rFonts w:ascii="Times New Roman" w:hAnsi="Times New Roman"/>
          <w:sz w:val="24"/>
          <w:szCs w:val="24"/>
          <w:lang w:val="pt-PT"/>
        </w:rPr>
        <w:t>, 2014). Além disso, Gonzaga e Pinto (2014, p. 6) argumentam que “em muitos casos, o empregador participa deliberadamente, simulando que deseja demitir, quando na verdade a  separação se dá por vontade do empregado. Esse ‘acordo’ para que a firma demita o trabalhador é um artifício  bastante conhecido pelos participantes  do  mercado  de  trabalho.  Em grande medida, ele é viabilizado pelo fato de a maior parte da multa ser devida ao trabalhador. Esta  peculiaridade  permite  neutralizar o custo financeiro incorrido pela firma na demissão”.</w:t>
      </w:r>
      <w:r w:rsidR="00D85C4F" w:rsidRPr="00742642">
        <w:rPr>
          <w:rFonts w:ascii="Times New Roman" w:hAnsi="Times New Roman"/>
          <w:sz w:val="24"/>
          <w:szCs w:val="24"/>
          <w:lang w:eastAsia="pt-BR"/>
        </w:rPr>
        <w:t xml:space="preserve"> </w:t>
      </w:r>
      <w:r w:rsidR="0093422F" w:rsidRPr="00742642">
        <w:rPr>
          <w:rFonts w:ascii="Times New Roman" w:hAnsi="Times New Roman"/>
          <w:sz w:val="24"/>
          <w:szCs w:val="24"/>
          <w:lang w:eastAsia="pt-BR"/>
        </w:rPr>
        <w:t>Assim, o incentivo à mudança de emprego, contribuiria ainda mais para a deterioração das relações de trabalho.</w:t>
      </w:r>
    </w:p>
    <w:p w:rsidR="00D85C4F" w:rsidRPr="00742642" w:rsidRDefault="00C75C15" w:rsidP="00742642">
      <w:pPr>
        <w:pStyle w:val="PargrafodaLista"/>
        <w:spacing w:line="240" w:lineRule="auto"/>
        <w:ind w:left="0" w:firstLine="708"/>
        <w:jc w:val="both"/>
        <w:rPr>
          <w:rFonts w:ascii="Times New Roman" w:hAnsi="Times New Roman"/>
          <w:sz w:val="24"/>
          <w:szCs w:val="24"/>
          <w:lang w:eastAsia="pt-BR"/>
        </w:rPr>
      </w:pPr>
      <w:r w:rsidRPr="00742642">
        <w:rPr>
          <w:rFonts w:ascii="Times New Roman" w:hAnsi="Times New Roman"/>
          <w:sz w:val="24"/>
          <w:szCs w:val="24"/>
        </w:rPr>
        <w:t xml:space="preserve">Em </w:t>
      </w:r>
      <w:r w:rsidR="00F265A4" w:rsidRPr="00742642">
        <w:rPr>
          <w:rFonts w:ascii="Times New Roman" w:hAnsi="Times New Roman"/>
          <w:sz w:val="24"/>
          <w:szCs w:val="24"/>
        </w:rPr>
        <w:t xml:space="preserve">Albuquerque (2009), investigou-se se a rotatividade de emprego entre os jovens afeta seus salários e se este efeito é positivo ou negativo. Dentre os resultados deste estudo, destaca-se a rejeição da hipótese de que indivíduos instáveis psicologicamente tendem a ser menos produtivos e receber menores salários, pois quando tais características foram </w:t>
      </w:r>
      <w:r w:rsidR="00F265A4" w:rsidRPr="00742642">
        <w:rPr>
          <w:rFonts w:ascii="Times New Roman" w:hAnsi="Times New Roman"/>
          <w:sz w:val="24"/>
          <w:szCs w:val="24"/>
        </w:rPr>
        <w:lastRenderedPageBreak/>
        <w:t xml:space="preserve">controladas, a mobilidade </w:t>
      </w:r>
      <w:proofErr w:type="spellStart"/>
      <w:r w:rsidR="00F265A4" w:rsidRPr="00742642">
        <w:rPr>
          <w:rFonts w:ascii="Times New Roman" w:hAnsi="Times New Roman"/>
          <w:sz w:val="24"/>
          <w:szCs w:val="24"/>
        </w:rPr>
        <w:t>nao</w:t>
      </w:r>
      <w:proofErr w:type="spellEnd"/>
      <w:r w:rsidR="00F265A4" w:rsidRPr="00742642">
        <w:rPr>
          <w:rFonts w:ascii="Times New Roman" w:hAnsi="Times New Roman"/>
          <w:sz w:val="24"/>
          <w:szCs w:val="24"/>
        </w:rPr>
        <w:t xml:space="preserve"> exerceu efeito sobre os rendimentos. Além disso, os retornos da rotatividade foram positivos, embora decrescentes.</w:t>
      </w:r>
      <w:r w:rsidR="00D85C4F" w:rsidRPr="00742642">
        <w:rPr>
          <w:rFonts w:ascii="Times New Roman" w:hAnsi="Times New Roman"/>
          <w:sz w:val="24"/>
          <w:szCs w:val="24"/>
        </w:rPr>
        <w:t xml:space="preserve"> </w:t>
      </w:r>
    </w:p>
    <w:p w:rsidR="007C473D" w:rsidRPr="00742642" w:rsidRDefault="006F5ACA" w:rsidP="00742642">
      <w:pPr>
        <w:pStyle w:val="PargrafodaLista"/>
        <w:spacing w:line="240" w:lineRule="auto"/>
        <w:ind w:left="0" w:firstLine="708"/>
        <w:jc w:val="both"/>
        <w:rPr>
          <w:rFonts w:ascii="Times New Roman" w:hAnsi="Times New Roman"/>
          <w:sz w:val="24"/>
          <w:szCs w:val="24"/>
          <w:lang w:val="pt-PT"/>
        </w:rPr>
      </w:pPr>
      <w:r w:rsidRPr="00742642">
        <w:rPr>
          <w:rFonts w:ascii="Times New Roman" w:hAnsi="Times New Roman"/>
          <w:sz w:val="24"/>
          <w:szCs w:val="24"/>
          <w:lang w:val="pt-PT"/>
        </w:rPr>
        <w:t>Para Corseuil et.al. (2013), jovens brasileiros enfrentam elevada mobilidade de emprego devido a altas taxas de contratação e separação. Para estes pesquisadores, transitar entre muitos trabalhos diferentes pode melhorar a relação trabalhador-empresa, porém a fácil entrada e saída tende a diminuir a aquisição de experiencia geral e especifica do emprego.</w:t>
      </w:r>
    </w:p>
    <w:p w:rsidR="00F07F9C" w:rsidRPr="00742642" w:rsidRDefault="00F07F9C" w:rsidP="00742642">
      <w:pPr>
        <w:pStyle w:val="PargrafodaLista"/>
        <w:spacing w:line="240" w:lineRule="auto"/>
        <w:ind w:left="0" w:firstLine="708"/>
        <w:jc w:val="both"/>
        <w:rPr>
          <w:rFonts w:ascii="Times New Roman" w:hAnsi="Times New Roman"/>
          <w:sz w:val="24"/>
          <w:szCs w:val="24"/>
          <w:lang w:eastAsia="pt-BR"/>
        </w:rPr>
      </w:pPr>
      <w:r w:rsidRPr="00742642">
        <w:rPr>
          <w:rFonts w:ascii="Times New Roman" w:hAnsi="Times New Roman"/>
          <w:sz w:val="24"/>
          <w:szCs w:val="24"/>
          <w:lang w:eastAsia="pt-BR"/>
        </w:rPr>
        <w:t>A rotatividade é defendida por outros pesquisadores devido à transmissão de conhecimento que ocorre quando há admissão de mão-de-obra qualificada pela firma (</w:t>
      </w:r>
      <w:r w:rsidRPr="00742642">
        <w:rPr>
          <w:rFonts w:ascii="Times New Roman" w:hAnsi="Times New Roman"/>
          <w:caps/>
          <w:sz w:val="24"/>
          <w:szCs w:val="24"/>
          <w:lang w:eastAsia="pt-BR"/>
        </w:rPr>
        <w:t>Arrow</w:t>
      </w:r>
      <w:r w:rsidRPr="00742642">
        <w:rPr>
          <w:rFonts w:ascii="Times New Roman" w:hAnsi="Times New Roman"/>
          <w:sz w:val="24"/>
          <w:szCs w:val="24"/>
          <w:lang w:eastAsia="pt-BR"/>
        </w:rPr>
        <w:t xml:space="preserve">, 1962; </w:t>
      </w:r>
      <w:r w:rsidRPr="00742642">
        <w:rPr>
          <w:rFonts w:ascii="Times New Roman" w:hAnsi="Times New Roman"/>
          <w:caps/>
          <w:sz w:val="24"/>
          <w:szCs w:val="24"/>
          <w:lang w:eastAsia="pt-BR"/>
        </w:rPr>
        <w:t xml:space="preserve">Song, Almeida </w:t>
      </w:r>
      <w:r w:rsidRPr="00742642">
        <w:rPr>
          <w:rFonts w:ascii="Times New Roman" w:hAnsi="Times New Roman"/>
          <w:sz w:val="24"/>
          <w:szCs w:val="24"/>
          <w:lang w:eastAsia="pt-BR"/>
        </w:rPr>
        <w:t>e WU, 2003). O capital humano adquirido pelo individuo acabava influenciando o processo de inovação das empresas e tendo papel fundamental nas atividades de P&amp;D (</w:t>
      </w:r>
      <w:r w:rsidRPr="00742642">
        <w:rPr>
          <w:rFonts w:ascii="Times New Roman" w:hAnsi="Times New Roman"/>
          <w:caps/>
          <w:sz w:val="24"/>
          <w:szCs w:val="24"/>
          <w:lang w:eastAsia="pt-BR"/>
        </w:rPr>
        <w:t>Taveira</w:t>
      </w:r>
      <w:r w:rsidRPr="00742642">
        <w:rPr>
          <w:rFonts w:ascii="Times New Roman" w:hAnsi="Times New Roman"/>
          <w:sz w:val="24"/>
          <w:szCs w:val="24"/>
          <w:lang w:eastAsia="pt-BR"/>
        </w:rPr>
        <w:t xml:space="preserve">, </w:t>
      </w:r>
      <w:r w:rsidRPr="00742642">
        <w:rPr>
          <w:rFonts w:ascii="Times New Roman" w:hAnsi="Times New Roman"/>
          <w:i/>
          <w:sz w:val="24"/>
          <w:szCs w:val="24"/>
          <w:lang w:eastAsia="pt-BR"/>
        </w:rPr>
        <w:t>et. al.</w:t>
      </w:r>
      <w:r w:rsidRPr="00742642">
        <w:rPr>
          <w:rFonts w:ascii="Times New Roman" w:hAnsi="Times New Roman"/>
          <w:sz w:val="24"/>
          <w:szCs w:val="24"/>
          <w:lang w:eastAsia="pt-BR"/>
        </w:rPr>
        <w:t xml:space="preserve"> 2012). Dessa forma, em alguns casos, os efeitos da mobilidade no emprego seriam positivos.</w:t>
      </w:r>
    </w:p>
    <w:p w:rsidR="00ED0A20" w:rsidRPr="00742642" w:rsidRDefault="00B22B47" w:rsidP="00742642">
      <w:pPr>
        <w:pStyle w:val="PargrafodaLista"/>
        <w:spacing w:line="240" w:lineRule="auto"/>
        <w:ind w:left="0" w:firstLine="708"/>
        <w:jc w:val="both"/>
        <w:rPr>
          <w:rFonts w:ascii="Times New Roman" w:hAnsi="Times New Roman"/>
          <w:sz w:val="24"/>
          <w:szCs w:val="24"/>
          <w:lang w:val="pt-PT"/>
        </w:rPr>
      </w:pPr>
      <w:r w:rsidRPr="00742642">
        <w:rPr>
          <w:rFonts w:ascii="Times New Roman" w:hAnsi="Times New Roman"/>
          <w:sz w:val="24"/>
          <w:szCs w:val="24"/>
          <w:lang w:val="pt-PT"/>
        </w:rPr>
        <w:t xml:space="preserve">Mendes, Gonçalves e Freguglia (2012) </w:t>
      </w:r>
      <w:r w:rsidR="00813810" w:rsidRPr="00742642">
        <w:rPr>
          <w:rFonts w:ascii="Times New Roman" w:hAnsi="Times New Roman"/>
          <w:sz w:val="24"/>
          <w:szCs w:val="24"/>
          <w:lang w:val="pt-PT"/>
        </w:rPr>
        <w:t>analisaram os fatores que determinam a mobilidade de trabalhadores no Brasil, enfatizando a possibilidade de difusão de conhecimento interfirmas, e encontraram a expectativa de retorno salarial e a experiencia no vinculo anterior como principais fatores indutores de mobilidade. Contudo, a sobrevivencia no emprego após a mudança de firma reduz a propensão de uma nova troca de emprego.</w:t>
      </w:r>
    </w:p>
    <w:p w:rsidR="00095653" w:rsidRPr="00742642" w:rsidRDefault="00F878F8" w:rsidP="00742642">
      <w:pPr>
        <w:pStyle w:val="PargrafodaLista"/>
        <w:spacing w:line="240" w:lineRule="auto"/>
        <w:ind w:left="0" w:firstLine="708"/>
        <w:jc w:val="both"/>
        <w:rPr>
          <w:rFonts w:ascii="Times New Roman" w:hAnsi="Times New Roman"/>
          <w:sz w:val="24"/>
          <w:szCs w:val="24"/>
          <w:lang w:eastAsia="pt-BR"/>
        </w:rPr>
      </w:pPr>
      <w:r w:rsidRPr="00742642">
        <w:rPr>
          <w:rFonts w:ascii="Times New Roman" w:hAnsi="Times New Roman"/>
          <w:sz w:val="24"/>
          <w:szCs w:val="24"/>
          <w:lang w:val="pt-PT"/>
        </w:rPr>
        <w:t>Apesar de tratar-se de um</w:t>
      </w:r>
      <w:r w:rsidR="002C586B" w:rsidRPr="00742642">
        <w:rPr>
          <w:rFonts w:ascii="Times New Roman" w:hAnsi="Times New Roman"/>
          <w:sz w:val="24"/>
          <w:szCs w:val="24"/>
          <w:lang w:val="pt-PT"/>
        </w:rPr>
        <w:t>a</w:t>
      </w:r>
      <w:r w:rsidRPr="00742642">
        <w:rPr>
          <w:rFonts w:ascii="Times New Roman" w:hAnsi="Times New Roman"/>
          <w:sz w:val="24"/>
          <w:szCs w:val="24"/>
          <w:lang w:val="pt-PT"/>
        </w:rPr>
        <w:t xml:space="preserve"> </w:t>
      </w:r>
      <w:r w:rsidR="002C586B" w:rsidRPr="00742642">
        <w:rPr>
          <w:rFonts w:ascii="Times New Roman" w:hAnsi="Times New Roman"/>
          <w:sz w:val="24"/>
          <w:szCs w:val="24"/>
          <w:lang w:val="pt-PT"/>
        </w:rPr>
        <w:t xml:space="preserve">questão </w:t>
      </w:r>
      <w:r w:rsidRPr="00742642">
        <w:rPr>
          <w:rFonts w:ascii="Times New Roman" w:hAnsi="Times New Roman"/>
          <w:sz w:val="24"/>
          <w:szCs w:val="24"/>
          <w:lang w:val="pt-PT"/>
        </w:rPr>
        <w:t xml:space="preserve">relevante, </w:t>
      </w:r>
      <w:r w:rsidR="002C586B" w:rsidRPr="00742642">
        <w:rPr>
          <w:rFonts w:ascii="Times New Roman" w:hAnsi="Times New Roman"/>
          <w:sz w:val="24"/>
          <w:szCs w:val="24"/>
          <w:lang w:val="pt-PT"/>
        </w:rPr>
        <w:t xml:space="preserve">a </w:t>
      </w:r>
      <w:r w:rsidRPr="00742642">
        <w:rPr>
          <w:rFonts w:ascii="Times New Roman" w:hAnsi="Times New Roman"/>
          <w:sz w:val="24"/>
          <w:szCs w:val="24"/>
          <w:lang w:val="pt-PT"/>
        </w:rPr>
        <w:t xml:space="preserve">rotatividade no emprego e sua relação com os salários ainda não foi abordada com enfoque </w:t>
      </w:r>
      <w:r w:rsidR="002C586B" w:rsidRPr="00742642">
        <w:rPr>
          <w:rFonts w:ascii="Times New Roman" w:hAnsi="Times New Roman"/>
          <w:sz w:val="24"/>
          <w:szCs w:val="24"/>
          <w:lang w:val="pt-PT"/>
        </w:rPr>
        <w:t>para o</w:t>
      </w:r>
      <w:r w:rsidRPr="00742642">
        <w:rPr>
          <w:rFonts w:ascii="Times New Roman" w:hAnsi="Times New Roman"/>
          <w:sz w:val="24"/>
          <w:szCs w:val="24"/>
          <w:lang w:val="pt-PT"/>
        </w:rPr>
        <w:t xml:space="preserve"> Agreste Pernambucano.</w:t>
      </w:r>
      <w:r w:rsidR="00813810" w:rsidRPr="00742642">
        <w:rPr>
          <w:rFonts w:ascii="Times New Roman" w:hAnsi="Times New Roman"/>
          <w:sz w:val="24"/>
          <w:szCs w:val="24"/>
          <w:lang w:val="pt-PT"/>
        </w:rPr>
        <w:t xml:space="preserve"> </w:t>
      </w:r>
      <w:r w:rsidRPr="00742642">
        <w:rPr>
          <w:rFonts w:ascii="Times New Roman" w:hAnsi="Times New Roman"/>
          <w:sz w:val="24"/>
          <w:szCs w:val="24"/>
          <w:lang w:val="pt-PT"/>
        </w:rPr>
        <w:t>Assim, o presente trabalho visa contribuir com a literatura</w:t>
      </w:r>
      <w:r w:rsidR="002C586B" w:rsidRPr="00742642">
        <w:rPr>
          <w:rFonts w:ascii="Times New Roman" w:hAnsi="Times New Roman"/>
          <w:sz w:val="24"/>
          <w:szCs w:val="24"/>
          <w:lang w:val="pt-PT"/>
        </w:rPr>
        <w:t xml:space="preserve"> nacional e encontrar evidências dos efeitos da rotatividade sobre os salários, especialmente na industria de transformação</w:t>
      </w:r>
      <w:r w:rsidR="0093422F" w:rsidRPr="00742642">
        <w:rPr>
          <w:rFonts w:ascii="Times New Roman" w:hAnsi="Times New Roman"/>
          <w:sz w:val="24"/>
          <w:szCs w:val="24"/>
          <w:lang w:val="pt-PT"/>
        </w:rPr>
        <w:t xml:space="preserve"> desta mesorregião</w:t>
      </w:r>
      <w:r w:rsidR="002C586B" w:rsidRPr="00742642">
        <w:rPr>
          <w:rFonts w:ascii="Times New Roman" w:hAnsi="Times New Roman"/>
          <w:sz w:val="24"/>
          <w:szCs w:val="24"/>
          <w:lang w:val="pt-PT"/>
        </w:rPr>
        <w:t>.</w:t>
      </w:r>
    </w:p>
    <w:p w:rsidR="00095653" w:rsidRPr="00742642" w:rsidRDefault="00095653" w:rsidP="00742642">
      <w:pPr>
        <w:jc w:val="both"/>
        <w:rPr>
          <w:rFonts w:ascii="Georgia" w:hAnsi="Georgia" w:cs="Arial"/>
          <w:lang w:eastAsia="pt-BR"/>
        </w:rPr>
      </w:pPr>
    </w:p>
    <w:p w:rsidR="00095653" w:rsidRPr="00742642" w:rsidRDefault="00D205C6" w:rsidP="00742642">
      <w:pPr>
        <w:widowControl w:val="0"/>
        <w:overflowPunct w:val="0"/>
        <w:autoSpaceDE w:val="0"/>
        <w:autoSpaceDN w:val="0"/>
        <w:adjustRightInd w:val="0"/>
        <w:spacing w:after="240"/>
        <w:jc w:val="both"/>
        <w:rPr>
          <w:b/>
          <w:bCs/>
          <w:caps/>
          <w:kern w:val="28"/>
        </w:rPr>
      </w:pPr>
      <w:r w:rsidRPr="00742642">
        <w:rPr>
          <w:b/>
          <w:bCs/>
          <w:caps/>
          <w:kern w:val="28"/>
        </w:rPr>
        <w:t>3</w:t>
      </w:r>
      <w:r w:rsidR="00F572C9" w:rsidRPr="00742642">
        <w:rPr>
          <w:b/>
          <w:bCs/>
          <w:caps/>
          <w:kern w:val="28"/>
        </w:rPr>
        <w:t>. A Indústria de Transformação</w:t>
      </w:r>
      <w:r w:rsidR="00095653" w:rsidRPr="00742642">
        <w:rPr>
          <w:b/>
          <w:bCs/>
          <w:caps/>
          <w:kern w:val="28"/>
        </w:rPr>
        <w:t xml:space="preserve"> </w:t>
      </w:r>
      <w:r w:rsidR="00F572C9" w:rsidRPr="00742642">
        <w:rPr>
          <w:b/>
          <w:bCs/>
          <w:caps/>
          <w:kern w:val="28"/>
        </w:rPr>
        <w:t>no</w:t>
      </w:r>
      <w:r w:rsidR="00095653" w:rsidRPr="00742642">
        <w:rPr>
          <w:b/>
          <w:bCs/>
          <w:caps/>
          <w:kern w:val="28"/>
        </w:rPr>
        <w:t xml:space="preserve"> A</w:t>
      </w:r>
      <w:r w:rsidR="00F572C9" w:rsidRPr="00742642">
        <w:rPr>
          <w:b/>
          <w:bCs/>
          <w:caps/>
          <w:kern w:val="28"/>
        </w:rPr>
        <w:t>greste</w:t>
      </w:r>
      <w:r w:rsidR="00095653" w:rsidRPr="00742642">
        <w:rPr>
          <w:b/>
          <w:bCs/>
          <w:caps/>
          <w:kern w:val="28"/>
        </w:rPr>
        <w:t xml:space="preserve"> P</w:t>
      </w:r>
      <w:r w:rsidR="00F572C9" w:rsidRPr="00742642">
        <w:rPr>
          <w:b/>
          <w:bCs/>
          <w:caps/>
          <w:kern w:val="28"/>
        </w:rPr>
        <w:t>ernambucano</w:t>
      </w:r>
    </w:p>
    <w:p w:rsidR="00095653" w:rsidRDefault="00095653" w:rsidP="00742642">
      <w:pPr>
        <w:widowControl w:val="0"/>
        <w:overflowPunct w:val="0"/>
        <w:autoSpaceDE w:val="0"/>
        <w:autoSpaceDN w:val="0"/>
        <w:adjustRightInd w:val="0"/>
        <w:spacing w:after="240"/>
        <w:ind w:firstLine="567"/>
        <w:jc w:val="both"/>
        <w:rPr>
          <w:lang w:eastAsia="pt-BR"/>
        </w:rPr>
      </w:pPr>
      <w:r w:rsidRPr="00742642">
        <w:rPr>
          <w:kern w:val="28"/>
        </w:rPr>
        <w:t xml:space="preserve">O estado de Pernambuco divide-se em cinco mesorregiões, sendo a mesorregião agreste a segunda maior em importância econômica, a primeira é a Região Metropolitana do Recife. Dentre as microrregiões que compõe o agreste duas delas se destacam em termos de capacidade produtiva: o </w:t>
      </w:r>
      <w:r w:rsidRPr="00742642">
        <w:rPr>
          <w:i/>
          <w:kern w:val="28"/>
        </w:rPr>
        <w:t>Vale do Ipojuca</w:t>
      </w:r>
      <w:r w:rsidRPr="00742642">
        <w:rPr>
          <w:kern w:val="28"/>
        </w:rPr>
        <w:t xml:space="preserve">, cuja principal representante é a cidade de Caruaru, e o </w:t>
      </w:r>
      <w:r w:rsidRPr="00742642">
        <w:rPr>
          <w:i/>
          <w:kern w:val="28"/>
        </w:rPr>
        <w:t>Alto Capibaribe,</w:t>
      </w:r>
      <w:r w:rsidRPr="00742642">
        <w:rPr>
          <w:kern w:val="28"/>
        </w:rPr>
        <w:t xml:space="preserve"> onde as cidades destaques são Toritama e Santa Cruz do Capibaribe, pela importância das suas economias para o estado. </w:t>
      </w:r>
      <w:r w:rsidRPr="00742642">
        <w:rPr>
          <w:lang w:eastAsia="pt-BR"/>
        </w:rPr>
        <w:t>Verificou-se que, dentre as 22 divisões do CNAE para indústria de transformação da mesorregião agreste, cinco delas possui significativa participação no Emprego e Estabelecimentos formais do agreste pernambucano e em torno delas incidirá nossos principais resultados. Juntas, a indústria de Confecção de Artigos do Vestuário (código 18), Fabricação de Produtos Alimentícios e Bebidas (código 15), Fabricação de Móveis (código 36), Fabricação de Produtos Têxteis (código 17) e Fabricação de Produtos Minerais (código 26) responderam, no ano de 2008, por 85% do pessoal ocupado e por 85% do número de estabelecimentos do setor da indústria de transformação do Agreste Pernambucano (</w:t>
      </w:r>
      <w:r w:rsidRPr="00742642">
        <w:rPr>
          <w:i/>
          <w:lang w:eastAsia="pt-BR"/>
        </w:rPr>
        <w:t>Tabela 1</w:t>
      </w:r>
      <w:r w:rsidRPr="00742642">
        <w:rPr>
          <w:lang w:eastAsia="pt-BR"/>
        </w:rPr>
        <w:t>).</w:t>
      </w:r>
    </w:p>
    <w:p w:rsidR="00742642" w:rsidRPr="00742642" w:rsidRDefault="00742642" w:rsidP="00742642">
      <w:pPr>
        <w:widowControl w:val="0"/>
        <w:overflowPunct w:val="0"/>
        <w:autoSpaceDE w:val="0"/>
        <w:autoSpaceDN w:val="0"/>
        <w:adjustRightInd w:val="0"/>
        <w:spacing w:after="240"/>
        <w:ind w:firstLine="567"/>
        <w:jc w:val="both"/>
        <w:rPr>
          <w:b/>
          <w:kern w:val="28"/>
        </w:rPr>
      </w:pPr>
      <w:r w:rsidRPr="00742642">
        <w:rPr>
          <w:lang w:eastAsia="pt-BR"/>
        </w:rPr>
        <w:t>De acordo com a tabela acima podemos constatar que o segmento de confecções registrou um crescimento percentual de 848,06%, entre os anos de 1996 e 2008, seguido pelo setor têxtil, com crescimento de 172,34% para o mesmo período. Para efeito de análise descritiva, faremos a caracterização da mão-de-obra e do mercado de trabalho para a mesorregião agreste. Feito isto, mediante a obtenção da matriz de transição, a qual informa o percentual de trabalhadores que permaneceram na mesma divisão e o percentual de migrantes para outra divisão, de um ano para outro, poderemos visualizar quais segmentos industriais são mais estáveis e quais são mais flexíveis. O intuito disso é conjecturar sobre as causas da rotatividade e seus efeitos sobre os salários.</w:t>
      </w:r>
      <w:r w:rsidRPr="00742642">
        <w:rPr>
          <w:b/>
          <w:kern w:val="28"/>
        </w:rPr>
        <w:t xml:space="preserve"> </w:t>
      </w:r>
    </w:p>
    <w:p w:rsidR="00742642" w:rsidRPr="00742642" w:rsidRDefault="00742642" w:rsidP="00742642">
      <w:pPr>
        <w:widowControl w:val="0"/>
        <w:overflowPunct w:val="0"/>
        <w:autoSpaceDE w:val="0"/>
        <w:autoSpaceDN w:val="0"/>
        <w:adjustRightInd w:val="0"/>
        <w:spacing w:after="240"/>
        <w:ind w:firstLine="567"/>
        <w:jc w:val="both"/>
        <w:rPr>
          <w:lang w:eastAsia="pt-BR"/>
        </w:rPr>
      </w:pPr>
    </w:p>
    <w:tbl>
      <w:tblPr>
        <w:tblW w:w="8940" w:type="dxa"/>
        <w:tblLayout w:type="fixed"/>
        <w:tblCellMar>
          <w:left w:w="70" w:type="dxa"/>
          <w:right w:w="70" w:type="dxa"/>
        </w:tblCellMar>
        <w:tblLook w:val="00A0" w:firstRow="1" w:lastRow="0" w:firstColumn="1" w:lastColumn="0" w:noHBand="0" w:noVBand="0"/>
      </w:tblPr>
      <w:tblGrid>
        <w:gridCol w:w="2416"/>
        <w:gridCol w:w="1300"/>
        <w:gridCol w:w="803"/>
        <w:gridCol w:w="1354"/>
        <w:gridCol w:w="803"/>
        <w:gridCol w:w="922"/>
        <w:gridCol w:w="1342"/>
      </w:tblGrid>
      <w:tr w:rsidR="00095653" w:rsidRPr="00742642" w:rsidTr="00742642">
        <w:trPr>
          <w:trHeight w:val="112"/>
        </w:trPr>
        <w:tc>
          <w:tcPr>
            <w:tcW w:w="8940" w:type="dxa"/>
            <w:gridSpan w:val="7"/>
            <w:tcBorders>
              <w:top w:val="nil"/>
              <w:left w:val="nil"/>
              <w:bottom w:val="thinThickSmallGap" w:sz="24" w:space="0" w:color="auto"/>
              <w:right w:val="nil"/>
            </w:tcBorders>
            <w:vAlign w:val="center"/>
          </w:tcPr>
          <w:p w:rsidR="00095653" w:rsidRPr="00742642" w:rsidRDefault="00095653" w:rsidP="00742642">
            <w:pPr>
              <w:jc w:val="center"/>
              <w:rPr>
                <w:color w:val="000000"/>
                <w:sz w:val="20"/>
                <w:szCs w:val="20"/>
                <w:lang w:eastAsia="pt-BR"/>
              </w:rPr>
            </w:pPr>
            <w:r w:rsidRPr="00742642">
              <w:rPr>
                <w:b/>
                <w:color w:val="000000"/>
                <w:sz w:val="20"/>
                <w:szCs w:val="20"/>
                <w:lang w:eastAsia="pt-BR"/>
              </w:rPr>
              <w:lastRenderedPageBreak/>
              <w:t>Tabela 1</w:t>
            </w:r>
            <w:r w:rsidRPr="00742642">
              <w:rPr>
                <w:color w:val="000000"/>
                <w:sz w:val="20"/>
                <w:szCs w:val="20"/>
                <w:lang w:eastAsia="pt-BR"/>
              </w:rPr>
              <w:t xml:space="preserve"> - Número de Estabelecimentos e Pessoal Ocupado nas Principais Indústrias de Transformação – Agreste Pernambucano (1996-2008)</w:t>
            </w:r>
          </w:p>
        </w:tc>
      </w:tr>
      <w:tr w:rsidR="00095653" w:rsidRPr="00742642" w:rsidTr="00742642">
        <w:trPr>
          <w:trHeight w:val="112"/>
        </w:trPr>
        <w:tc>
          <w:tcPr>
            <w:tcW w:w="2416" w:type="dxa"/>
            <w:vMerge w:val="restart"/>
            <w:tcBorders>
              <w:top w:val="thinThickSmallGap" w:sz="24" w:space="0" w:color="auto"/>
              <w:left w:val="nil"/>
              <w:bottom w:val="single" w:sz="8" w:space="0" w:color="000000"/>
              <w:right w:val="nil"/>
            </w:tcBorders>
            <w:vAlign w:val="center"/>
          </w:tcPr>
          <w:p w:rsidR="00095653" w:rsidRPr="00742642" w:rsidRDefault="00095653" w:rsidP="00742642">
            <w:pPr>
              <w:rPr>
                <w:color w:val="000000"/>
                <w:sz w:val="20"/>
                <w:szCs w:val="20"/>
                <w:lang w:eastAsia="pt-BR"/>
              </w:rPr>
            </w:pPr>
            <w:r w:rsidRPr="00742642">
              <w:rPr>
                <w:color w:val="000000"/>
                <w:sz w:val="20"/>
                <w:szCs w:val="20"/>
                <w:lang w:eastAsia="pt-BR"/>
              </w:rPr>
              <w:t>Atividade Econômica (CNAE)</w:t>
            </w:r>
          </w:p>
        </w:tc>
        <w:tc>
          <w:tcPr>
            <w:tcW w:w="3457" w:type="dxa"/>
            <w:gridSpan w:val="3"/>
            <w:tcBorders>
              <w:top w:val="thinThickSmallGap" w:sz="24" w:space="0" w:color="auto"/>
              <w:left w:val="nil"/>
              <w:bottom w:val="nil"/>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N. Estabelecimento</w:t>
            </w:r>
          </w:p>
        </w:tc>
        <w:tc>
          <w:tcPr>
            <w:tcW w:w="3067" w:type="dxa"/>
            <w:gridSpan w:val="3"/>
            <w:tcBorders>
              <w:top w:val="thinThickSmallGap" w:sz="24" w:space="0" w:color="auto"/>
              <w:left w:val="nil"/>
              <w:bottom w:val="nil"/>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Pessoal Ocupado</w:t>
            </w:r>
          </w:p>
        </w:tc>
      </w:tr>
      <w:tr w:rsidR="00095653" w:rsidRPr="00742642" w:rsidTr="00742642">
        <w:trPr>
          <w:trHeight w:val="210"/>
        </w:trPr>
        <w:tc>
          <w:tcPr>
            <w:tcW w:w="2416" w:type="dxa"/>
            <w:vMerge/>
            <w:tcBorders>
              <w:top w:val="thinThickSmallGap" w:sz="24" w:space="0" w:color="auto"/>
              <w:left w:val="nil"/>
              <w:bottom w:val="single" w:sz="8" w:space="0" w:color="000000"/>
              <w:right w:val="nil"/>
            </w:tcBorders>
            <w:vAlign w:val="center"/>
          </w:tcPr>
          <w:p w:rsidR="00095653" w:rsidRPr="00742642" w:rsidRDefault="00095653" w:rsidP="00742642">
            <w:pPr>
              <w:rPr>
                <w:color w:val="000000"/>
                <w:sz w:val="20"/>
                <w:szCs w:val="20"/>
                <w:lang w:eastAsia="pt-BR"/>
              </w:rPr>
            </w:pPr>
          </w:p>
        </w:tc>
        <w:tc>
          <w:tcPr>
            <w:tcW w:w="2103" w:type="dxa"/>
            <w:gridSpan w:val="2"/>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Absoluto</w:t>
            </w:r>
          </w:p>
        </w:tc>
        <w:tc>
          <w:tcPr>
            <w:tcW w:w="1354"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Taxa Cresc.</w:t>
            </w:r>
          </w:p>
        </w:tc>
        <w:tc>
          <w:tcPr>
            <w:tcW w:w="1725" w:type="dxa"/>
            <w:gridSpan w:val="2"/>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Absoluto</w:t>
            </w:r>
          </w:p>
        </w:tc>
        <w:tc>
          <w:tcPr>
            <w:tcW w:w="134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Taxa Cresc.</w:t>
            </w:r>
          </w:p>
        </w:tc>
      </w:tr>
      <w:tr w:rsidR="00095653" w:rsidRPr="00742642" w:rsidTr="00742642">
        <w:trPr>
          <w:trHeight w:val="29"/>
        </w:trPr>
        <w:tc>
          <w:tcPr>
            <w:tcW w:w="2416" w:type="dxa"/>
            <w:vMerge/>
            <w:tcBorders>
              <w:top w:val="thinThickSmallGap" w:sz="24" w:space="0" w:color="auto"/>
              <w:left w:val="nil"/>
              <w:bottom w:val="single" w:sz="8" w:space="0" w:color="000000"/>
              <w:right w:val="nil"/>
            </w:tcBorders>
            <w:vAlign w:val="center"/>
          </w:tcPr>
          <w:p w:rsidR="00095653" w:rsidRPr="00742642" w:rsidRDefault="00095653" w:rsidP="00742642">
            <w:pPr>
              <w:rPr>
                <w:color w:val="000000"/>
                <w:sz w:val="20"/>
                <w:szCs w:val="20"/>
                <w:lang w:eastAsia="pt-BR"/>
              </w:rPr>
            </w:pPr>
          </w:p>
        </w:tc>
        <w:tc>
          <w:tcPr>
            <w:tcW w:w="1300"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1996</w:t>
            </w:r>
          </w:p>
        </w:tc>
        <w:tc>
          <w:tcPr>
            <w:tcW w:w="803"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2008</w:t>
            </w:r>
          </w:p>
        </w:tc>
        <w:tc>
          <w:tcPr>
            <w:tcW w:w="1354"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1996-2008</w:t>
            </w:r>
          </w:p>
        </w:tc>
        <w:tc>
          <w:tcPr>
            <w:tcW w:w="803"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1996</w:t>
            </w:r>
          </w:p>
        </w:tc>
        <w:tc>
          <w:tcPr>
            <w:tcW w:w="922"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2008</w:t>
            </w:r>
          </w:p>
        </w:tc>
        <w:tc>
          <w:tcPr>
            <w:tcW w:w="1342" w:type="dxa"/>
            <w:tcBorders>
              <w:top w:val="nil"/>
              <w:left w:val="nil"/>
              <w:bottom w:val="single" w:sz="8"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1996-2008</w:t>
            </w:r>
          </w:p>
        </w:tc>
      </w:tr>
      <w:tr w:rsidR="00095653" w:rsidRPr="00742642" w:rsidTr="00742642">
        <w:trPr>
          <w:trHeight w:val="143"/>
        </w:trPr>
        <w:tc>
          <w:tcPr>
            <w:tcW w:w="2416" w:type="dxa"/>
            <w:vAlign w:val="center"/>
          </w:tcPr>
          <w:p w:rsidR="00095653" w:rsidRPr="00742642" w:rsidRDefault="00095653" w:rsidP="00742642">
            <w:pPr>
              <w:rPr>
                <w:color w:val="000000"/>
                <w:sz w:val="20"/>
                <w:szCs w:val="20"/>
                <w:lang w:eastAsia="pt-BR"/>
              </w:rPr>
            </w:pPr>
            <w:r w:rsidRPr="00742642">
              <w:rPr>
                <w:color w:val="000000"/>
                <w:sz w:val="20"/>
                <w:szCs w:val="20"/>
                <w:lang w:eastAsia="pt-BR"/>
              </w:rPr>
              <w:t>Confecção (DIVISAO 18)</w:t>
            </w:r>
          </w:p>
        </w:tc>
        <w:tc>
          <w:tcPr>
            <w:tcW w:w="1300"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129</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1.223</w:t>
            </w:r>
          </w:p>
        </w:tc>
        <w:tc>
          <w:tcPr>
            <w:tcW w:w="1354"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848,06%</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4.514</w:t>
            </w:r>
          </w:p>
        </w:tc>
        <w:tc>
          <w:tcPr>
            <w:tcW w:w="92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11.819</w:t>
            </w:r>
          </w:p>
        </w:tc>
        <w:tc>
          <w:tcPr>
            <w:tcW w:w="134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828,44%</w:t>
            </w:r>
          </w:p>
        </w:tc>
      </w:tr>
      <w:tr w:rsidR="00095653" w:rsidRPr="00742642" w:rsidTr="00742642">
        <w:trPr>
          <w:trHeight w:val="143"/>
        </w:trPr>
        <w:tc>
          <w:tcPr>
            <w:tcW w:w="2416" w:type="dxa"/>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Alimentícios e Bebidas (DIVISAO 15)</w:t>
            </w:r>
          </w:p>
        </w:tc>
        <w:tc>
          <w:tcPr>
            <w:tcW w:w="1300"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323</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643</w:t>
            </w:r>
          </w:p>
        </w:tc>
        <w:tc>
          <w:tcPr>
            <w:tcW w:w="1354"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99,07%</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3.721</w:t>
            </w:r>
          </w:p>
        </w:tc>
        <w:tc>
          <w:tcPr>
            <w:tcW w:w="92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10.493</w:t>
            </w:r>
          </w:p>
        </w:tc>
        <w:tc>
          <w:tcPr>
            <w:tcW w:w="134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242,01%</w:t>
            </w:r>
          </w:p>
        </w:tc>
      </w:tr>
      <w:tr w:rsidR="00095653" w:rsidRPr="00742642" w:rsidTr="00742642">
        <w:trPr>
          <w:trHeight w:val="143"/>
        </w:trPr>
        <w:tc>
          <w:tcPr>
            <w:tcW w:w="2416" w:type="dxa"/>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Moveleira (DIVISAO 36)</w:t>
            </w:r>
          </w:p>
        </w:tc>
        <w:tc>
          <w:tcPr>
            <w:tcW w:w="1300"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54</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130</w:t>
            </w:r>
          </w:p>
        </w:tc>
        <w:tc>
          <w:tcPr>
            <w:tcW w:w="1354"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140,74%</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448</w:t>
            </w:r>
          </w:p>
        </w:tc>
        <w:tc>
          <w:tcPr>
            <w:tcW w:w="92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1.505</w:t>
            </w:r>
          </w:p>
        </w:tc>
        <w:tc>
          <w:tcPr>
            <w:tcW w:w="134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235,94%</w:t>
            </w:r>
          </w:p>
        </w:tc>
      </w:tr>
      <w:tr w:rsidR="00095653" w:rsidRPr="00742642" w:rsidTr="00742642">
        <w:trPr>
          <w:trHeight w:val="143"/>
        </w:trPr>
        <w:tc>
          <w:tcPr>
            <w:tcW w:w="2416" w:type="dxa"/>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Têxtil (DIVISAO 17)</w:t>
            </w:r>
          </w:p>
        </w:tc>
        <w:tc>
          <w:tcPr>
            <w:tcW w:w="1300"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47</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128</w:t>
            </w:r>
          </w:p>
        </w:tc>
        <w:tc>
          <w:tcPr>
            <w:tcW w:w="1354"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172,34</w:t>
            </w:r>
          </w:p>
        </w:tc>
        <w:tc>
          <w:tcPr>
            <w:tcW w:w="803"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1.124</w:t>
            </w:r>
          </w:p>
        </w:tc>
        <w:tc>
          <w:tcPr>
            <w:tcW w:w="92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1.439</w:t>
            </w:r>
          </w:p>
        </w:tc>
        <w:tc>
          <w:tcPr>
            <w:tcW w:w="1342" w:type="dxa"/>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76,56%</w:t>
            </w:r>
          </w:p>
        </w:tc>
      </w:tr>
      <w:tr w:rsidR="00095653" w:rsidRPr="00742642" w:rsidTr="00742642">
        <w:trPr>
          <w:trHeight w:val="149"/>
        </w:trPr>
        <w:tc>
          <w:tcPr>
            <w:tcW w:w="2416" w:type="dxa"/>
            <w:tcBorders>
              <w:top w:val="nil"/>
              <w:left w:val="nil"/>
              <w:bottom w:val="single" w:sz="4" w:space="0" w:color="000000"/>
              <w:right w:val="nil"/>
            </w:tcBorders>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Minerais não Metálicos (DIVISAO 26)</w:t>
            </w:r>
          </w:p>
        </w:tc>
        <w:tc>
          <w:tcPr>
            <w:tcW w:w="1300"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70</w:t>
            </w:r>
          </w:p>
        </w:tc>
        <w:tc>
          <w:tcPr>
            <w:tcW w:w="803"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121</w:t>
            </w:r>
          </w:p>
        </w:tc>
        <w:tc>
          <w:tcPr>
            <w:tcW w:w="1354"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72,86%</w:t>
            </w:r>
          </w:p>
        </w:tc>
        <w:tc>
          <w:tcPr>
            <w:tcW w:w="803"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1.112</w:t>
            </w:r>
          </w:p>
        </w:tc>
        <w:tc>
          <w:tcPr>
            <w:tcW w:w="922"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2.423</w:t>
            </w:r>
          </w:p>
        </w:tc>
        <w:tc>
          <w:tcPr>
            <w:tcW w:w="1342" w:type="dxa"/>
            <w:tcBorders>
              <w:top w:val="nil"/>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117,90%</w:t>
            </w:r>
          </w:p>
        </w:tc>
      </w:tr>
      <w:tr w:rsidR="00095653" w:rsidRPr="00742642" w:rsidTr="00742642">
        <w:trPr>
          <w:trHeight w:val="33"/>
        </w:trPr>
        <w:tc>
          <w:tcPr>
            <w:tcW w:w="2416" w:type="dxa"/>
            <w:tcBorders>
              <w:top w:val="single" w:sz="4" w:space="0" w:color="000000"/>
              <w:left w:val="nil"/>
              <w:bottom w:val="single" w:sz="4" w:space="0" w:color="000000"/>
              <w:right w:val="nil"/>
            </w:tcBorders>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 xml:space="preserve">Outras Divisões </w:t>
            </w:r>
          </w:p>
        </w:tc>
        <w:tc>
          <w:tcPr>
            <w:tcW w:w="1300"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190</w:t>
            </w:r>
          </w:p>
        </w:tc>
        <w:tc>
          <w:tcPr>
            <w:tcW w:w="803"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393</w:t>
            </w:r>
          </w:p>
        </w:tc>
        <w:tc>
          <w:tcPr>
            <w:tcW w:w="1354"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106,84%</w:t>
            </w:r>
          </w:p>
        </w:tc>
        <w:tc>
          <w:tcPr>
            <w:tcW w:w="803"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2.342</w:t>
            </w:r>
          </w:p>
        </w:tc>
        <w:tc>
          <w:tcPr>
            <w:tcW w:w="922"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4.960</w:t>
            </w:r>
          </w:p>
        </w:tc>
        <w:tc>
          <w:tcPr>
            <w:tcW w:w="1342"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111,78%</w:t>
            </w:r>
          </w:p>
        </w:tc>
      </w:tr>
      <w:tr w:rsidR="00095653" w:rsidRPr="00742642" w:rsidTr="00742642">
        <w:trPr>
          <w:trHeight w:val="37"/>
        </w:trPr>
        <w:tc>
          <w:tcPr>
            <w:tcW w:w="2416" w:type="dxa"/>
            <w:tcBorders>
              <w:top w:val="single" w:sz="4" w:space="0" w:color="000000"/>
              <w:left w:val="nil"/>
              <w:bottom w:val="single" w:sz="4" w:space="0" w:color="000000"/>
              <w:right w:val="nil"/>
            </w:tcBorders>
            <w:vAlign w:val="center"/>
          </w:tcPr>
          <w:p w:rsidR="00095653" w:rsidRPr="00742642" w:rsidRDefault="00095653" w:rsidP="00742642">
            <w:pPr>
              <w:jc w:val="both"/>
              <w:rPr>
                <w:color w:val="000000"/>
                <w:sz w:val="20"/>
                <w:szCs w:val="20"/>
                <w:lang w:eastAsia="pt-BR"/>
              </w:rPr>
            </w:pPr>
            <w:r w:rsidRPr="00742642">
              <w:rPr>
                <w:color w:val="000000"/>
                <w:sz w:val="20"/>
                <w:szCs w:val="20"/>
                <w:lang w:eastAsia="pt-BR"/>
              </w:rPr>
              <w:t>Total</w:t>
            </w:r>
          </w:p>
        </w:tc>
        <w:tc>
          <w:tcPr>
            <w:tcW w:w="1300"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813</w:t>
            </w:r>
          </w:p>
        </w:tc>
        <w:tc>
          <w:tcPr>
            <w:tcW w:w="803"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2.638</w:t>
            </w:r>
          </w:p>
        </w:tc>
        <w:tc>
          <w:tcPr>
            <w:tcW w:w="1354"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224,48%</w:t>
            </w:r>
          </w:p>
        </w:tc>
        <w:tc>
          <w:tcPr>
            <w:tcW w:w="803"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9.058</w:t>
            </w:r>
          </w:p>
        </w:tc>
        <w:tc>
          <w:tcPr>
            <w:tcW w:w="922"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32.639</w:t>
            </w:r>
          </w:p>
        </w:tc>
        <w:tc>
          <w:tcPr>
            <w:tcW w:w="1342" w:type="dxa"/>
            <w:tcBorders>
              <w:top w:val="single" w:sz="4" w:space="0" w:color="000000"/>
              <w:left w:val="nil"/>
              <w:bottom w:val="single" w:sz="4" w:space="0" w:color="000000"/>
              <w:right w:val="nil"/>
            </w:tcBorders>
            <w:vAlign w:val="center"/>
          </w:tcPr>
          <w:p w:rsidR="00095653" w:rsidRPr="00742642" w:rsidRDefault="00095653" w:rsidP="00742642">
            <w:pPr>
              <w:jc w:val="center"/>
              <w:rPr>
                <w:color w:val="000000"/>
                <w:sz w:val="20"/>
                <w:szCs w:val="20"/>
                <w:lang w:eastAsia="pt-BR"/>
              </w:rPr>
            </w:pPr>
            <w:r w:rsidRPr="00742642">
              <w:rPr>
                <w:color w:val="000000"/>
                <w:sz w:val="20"/>
                <w:szCs w:val="20"/>
                <w:lang w:eastAsia="pt-BR"/>
              </w:rPr>
              <w:t>260,33%</w:t>
            </w:r>
          </w:p>
        </w:tc>
      </w:tr>
    </w:tbl>
    <w:p w:rsidR="00095653" w:rsidRPr="00742642" w:rsidRDefault="00095653" w:rsidP="00742642">
      <w:pPr>
        <w:jc w:val="both"/>
        <w:rPr>
          <w:color w:val="000000"/>
          <w:sz w:val="18"/>
          <w:szCs w:val="18"/>
          <w:lang w:eastAsia="pt-BR"/>
        </w:rPr>
      </w:pPr>
      <w:r w:rsidRPr="00742642">
        <w:rPr>
          <w:color w:val="000000"/>
          <w:sz w:val="18"/>
          <w:szCs w:val="18"/>
          <w:lang w:eastAsia="pt-BR"/>
        </w:rPr>
        <w:t>Fonte: Elaboração própria a partir Base de Dados RAISMIGRA 1996-2008</w:t>
      </w:r>
    </w:p>
    <w:p w:rsidR="00095653" w:rsidRPr="00742642" w:rsidRDefault="00095653" w:rsidP="00742642">
      <w:pPr>
        <w:jc w:val="both"/>
        <w:rPr>
          <w:lang w:eastAsia="pt-BR"/>
        </w:rPr>
      </w:pPr>
    </w:p>
    <w:p w:rsidR="00095653" w:rsidRPr="00742642" w:rsidRDefault="00D205C6" w:rsidP="00742642">
      <w:pPr>
        <w:widowControl w:val="0"/>
        <w:overflowPunct w:val="0"/>
        <w:autoSpaceDE w:val="0"/>
        <w:autoSpaceDN w:val="0"/>
        <w:adjustRightInd w:val="0"/>
        <w:spacing w:after="240"/>
        <w:jc w:val="both"/>
        <w:rPr>
          <w:b/>
          <w:kern w:val="28"/>
        </w:rPr>
      </w:pPr>
      <w:r w:rsidRPr="00742642">
        <w:rPr>
          <w:b/>
          <w:caps/>
          <w:kern w:val="28"/>
        </w:rPr>
        <w:t>3</w:t>
      </w:r>
      <w:r w:rsidR="00572F5F" w:rsidRPr="00742642">
        <w:rPr>
          <w:b/>
          <w:caps/>
          <w:kern w:val="28"/>
        </w:rPr>
        <w:t xml:space="preserve">.1. </w:t>
      </w:r>
      <w:r w:rsidRPr="00742642">
        <w:rPr>
          <w:b/>
          <w:caps/>
          <w:kern w:val="28"/>
        </w:rPr>
        <w:t>C</w:t>
      </w:r>
      <w:r w:rsidRPr="00742642">
        <w:rPr>
          <w:b/>
          <w:kern w:val="28"/>
        </w:rPr>
        <w:t>aracterização do Pessoal Ocupado</w:t>
      </w:r>
    </w:p>
    <w:p w:rsidR="00B83D61" w:rsidRPr="00742642" w:rsidRDefault="00095653" w:rsidP="00742642">
      <w:pPr>
        <w:widowControl w:val="0"/>
        <w:overflowPunct w:val="0"/>
        <w:autoSpaceDE w:val="0"/>
        <w:autoSpaceDN w:val="0"/>
        <w:adjustRightInd w:val="0"/>
        <w:spacing w:after="240"/>
        <w:ind w:firstLine="708"/>
        <w:jc w:val="both"/>
        <w:rPr>
          <w:kern w:val="28"/>
          <w:lang w:eastAsia="pt-BR"/>
        </w:rPr>
      </w:pPr>
      <w:r w:rsidRPr="00742642">
        <w:rPr>
          <w:kern w:val="28"/>
        </w:rPr>
        <w:t>Grande parte do setor industrial situado no Agreste pernambucano tem a informalidade como característica principal, segundo estimativas do FADE/SEBRAE (2003). Apesar dessa evidência focaremos nossa análise no mercado formal, o qual se tem dados oficiais disponíveis a um nível de desagregação geográfica requerida para este estudo.</w:t>
      </w:r>
      <w:r w:rsidRPr="00742642">
        <w:rPr>
          <w:lang w:eastAsia="pt-BR"/>
        </w:rPr>
        <w:t xml:space="preserve"> </w:t>
      </w:r>
      <w:r w:rsidRPr="00742642">
        <w:rPr>
          <w:kern w:val="28"/>
        </w:rPr>
        <w:t>Desse modo, a tabela 3 traz informações sobre a distribuição quantitativa de homens e mulheres na indústria de transformação. A partir desses dados verifica-se que o número de mulheres no setor de confecções (divisão 18) cresceu 53,65 %, entre 1995-2000, e um pouco mais do período de 8 anos, 59,23 %, entre 2000-2008. A quantidade de homens neste setor seguiu o mesmo ritmo, mas com um nível mais elevado, crescendo 69,17 %, entre 1995-2000, e 75,42 %, entre 2000-2008. Percebe-se, portanto, que o emprego total registrado na indústria, no ano de 2008 (de 48.493), superou o total do ano de 1995 (de 16.299), o qual apresentou uma taxa de crescimento de 66,38 %.</w:t>
      </w:r>
      <w:r w:rsidRPr="00742642">
        <w:rPr>
          <w:b/>
          <w:kern w:val="28"/>
        </w:rPr>
        <w:t xml:space="preserve"> </w:t>
      </w:r>
      <w:r w:rsidRPr="00742642">
        <w:rPr>
          <w:lang w:eastAsia="pt-BR"/>
        </w:rPr>
        <w:t xml:space="preserve">Já para o setor têxtil (divisão 17), a quantidade de mulheres também cresceu no período analisado (31,98 % entre 1995-2000 e 30,14 % entre </w:t>
      </w:r>
      <w:r w:rsidRPr="00742642">
        <w:rPr>
          <w:kern w:val="28"/>
          <w:lang w:eastAsia="pt-BR"/>
        </w:rPr>
        <w:t>2000-2008). A distribuição quantitativa de homens nessa divisão, do mesmo modo, elevou-se 26,94 %, entre 1995-2000, e 27,67 %, entre 2000-2008. Outro fato a constatar é que nos setores em questão (divisões 17 e 18) a mão-de-obra é formada, sobretudo, por mulheres (</w:t>
      </w:r>
      <w:r w:rsidRPr="00742642">
        <w:rPr>
          <w:i/>
          <w:kern w:val="28"/>
          <w:lang w:eastAsia="pt-BR"/>
        </w:rPr>
        <w:t>Tabela 2</w:t>
      </w:r>
      <w:r w:rsidRPr="00742642">
        <w:rPr>
          <w:kern w:val="28"/>
          <w:lang w:eastAsia="pt-BR"/>
        </w:rPr>
        <w:t>).</w:t>
      </w:r>
    </w:p>
    <w:p w:rsidR="00095653" w:rsidRPr="00742642" w:rsidRDefault="00095653" w:rsidP="00742642">
      <w:pPr>
        <w:widowControl w:val="0"/>
        <w:overflowPunct w:val="0"/>
        <w:autoSpaceDE w:val="0"/>
        <w:autoSpaceDN w:val="0"/>
        <w:adjustRightInd w:val="0"/>
        <w:jc w:val="both"/>
        <w:rPr>
          <w:kern w:val="28"/>
          <w:lang w:eastAsia="pt-BR"/>
        </w:rPr>
      </w:pPr>
      <w:r w:rsidRPr="00742642">
        <w:rPr>
          <w:b/>
          <w:kern w:val="28"/>
          <w:lang w:eastAsia="pt-BR"/>
        </w:rPr>
        <w:t>Tabela 2</w:t>
      </w:r>
      <w:r w:rsidRPr="00742642">
        <w:rPr>
          <w:kern w:val="28"/>
          <w:lang w:eastAsia="pt-BR"/>
        </w:rPr>
        <w:t>: Distribuição quantitativa de Homens e Mulheres nos anos de 1995, 2000 e 2008 nas principais atividades econômicas do Agreste Pernambucano.</w:t>
      </w:r>
    </w:p>
    <w:tbl>
      <w:tblPr>
        <w:tblW w:w="8487" w:type="dxa"/>
        <w:jc w:val="center"/>
        <w:tblCellMar>
          <w:left w:w="70" w:type="dxa"/>
          <w:right w:w="70" w:type="dxa"/>
        </w:tblCellMar>
        <w:tblLook w:val="00A0" w:firstRow="1" w:lastRow="0" w:firstColumn="1" w:lastColumn="0" w:noHBand="0" w:noVBand="0"/>
      </w:tblPr>
      <w:tblGrid>
        <w:gridCol w:w="1002"/>
        <w:gridCol w:w="1001"/>
        <w:gridCol w:w="563"/>
        <w:gridCol w:w="1001"/>
        <w:gridCol w:w="761"/>
        <w:gridCol w:w="761"/>
        <w:gridCol w:w="479"/>
        <w:gridCol w:w="712"/>
        <w:gridCol w:w="312"/>
        <w:gridCol w:w="451"/>
        <w:gridCol w:w="660"/>
        <w:gridCol w:w="784"/>
      </w:tblGrid>
      <w:tr w:rsidR="00095653" w:rsidRPr="00742642" w:rsidTr="00402299">
        <w:trPr>
          <w:trHeight w:val="305"/>
          <w:jc w:val="center"/>
        </w:trPr>
        <w:tc>
          <w:tcPr>
            <w:tcW w:w="1002"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1001"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563"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1001"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761"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761"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1191" w:type="dxa"/>
            <w:gridSpan w:val="2"/>
            <w:tcBorders>
              <w:top w:val="thickThin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Sexo</w:t>
            </w:r>
          </w:p>
        </w:tc>
        <w:tc>
          <w:tcPr>
            <w:tcW w:w="763" w:type="dxa"/>
            <w:gridSpan w:val="2"/>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660"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784" w:type="dxa"/>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3567" w:type="dxa"/>
            <w:gridSpan w:val="4"/>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Atividade Econômica (CNAE)</w:t>
            </w:r>
          </w:p>
        </w:tc>
        <w:tc>
          <w:tcPr>
            <w:tcW w:w="1522"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Feminino</w:t>
            </w:r>
          </w:p>
        </w:tc>
        <w:tc>
          <w:tcPr>
            <w:tcW w:w="479" w:type="dxa"/>
            <w:noWrap/>
            <w:vAlign w:val="bottom"/>
          </w:tcPr>
          <w:p w:rsidR="00095653" w:rsidRPr="00742642" w:rsidRDefault="00095653" w:rsidP="00742642">
            <w:pPr>
              <w:rPr>
                <w:bCs/>
                <w:color w:val="000000"/>
                <w:sz w:val="20"/>
                <w:szCs w:val="20"/>
                <w:lang w:eastAsia="pt-BR"/>
              </w:rPr>
            </w:pPr>
          </w:p>
        </w:tc>
        <w:tc>
          <w:tcPr>
            <w:tcW w:w="712" w:type="dxa"/>
            <w:noWrap/>
            <w:vAlign w:val="bottom"/>
          </w:tcPr>
          <w:p w:rsidR="00095653" w:rsidRPr="00742642" w:rsidRDefault="00095653" w:rsidP="00742642">
            <w:pPr>
              <w:rPr>
                <w:bCs/>
                <w:color w:val="000000"/>
                <w:sz w:val="20"/>
                <w:szCs w:val="20"/>
                <w:lang w:eastAsia="pt-BR"/>
              </w:rPr>
            </w:pPr>
          </w:p>
        </w:tc>
        <w:tc>
          <w:tcPr>
            <w:tcW w:w="1423"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Masculino</w:t>
            </w:r>
          </w:p>
        </w:tc>
        <w:tc>
          <w:tcPr>
            <w:tcW w:w="784" w:type="dxa"/>
            <w:noWrap/>
            <w:vAlign w:val="bottom"/>
          </w:tcPr>
          <w:p w:rsidR="00095653" w:rsidRPr="00742642" w:rsidRDefault="00095653" w:rsidP="00742642">
            <w:pPr>
              <w:rPr>
                <w:bCs/>
                <w:color w:val="000000"/>
                <w:sz w:val="20"/>
                <w:szCs w:val="20"/>
                <w:lang w:eastAsia="pt-BR"/>
              </w:rPr>
            </w:pPr>
          </w:p>
        </w:tc>
      </w:tr>
      <w:tr w:rsidR="00095653" w:rsidRPr="00742642" w:rsidTr="00402299">
        <w:trPr>
          <w:trHeight w:val="305"/>
          <w:jc w:val="center"/>
        </w:trPr>
        <w:tc>
          <w:tcPr>
            <w:tcW w:w="1002" w:type="dxa"/>
            <w:noWrap/>
            <w:vAlign w:val="bottom"/>
          </w:tcPr>
          <w:p w:rsidR="00095653" w:rsidRPr="00742642" w:rsidRDefault="00095653" w:rsidP="00742642">
            <w:pPr>
              <w:rPr>
                <w:color w:val="000000"/>
                <w:sz w:val="20"/>
                <w:szCs w:val="20"/>
                <w:lang w:eastAsia="pt-BR"/>
              </w:rPr>
            </w:pPr>
          </w:p>
        </w:tc>
        <w:tc>
          <w:tcPr>
            <w:tcW w:w="1001" w:type="dxa"/>
            <w:noWrap/>
            <w:vAlign w:val="bottom"/>
          </w:tcPr>
          <w:p w:rsidR="00095653" w:rsidRPr="00742642" w:rsidRDefault="00095653" w:rsidP="00742642">
            <w:pPr>
              <w:rPr>
                <w:bCs/>
                <w:color w:val="000000"/>
                <w:sz w:val="20"/>
                <w:szCs w:val="20"/>
                <w:lang w:eastAsia="pt-BR"/>
              </w:rPr>
            </w:pPr>
          </w:p>
        </w:tc>
        <w:tc>
          <w:tcPr>
            <w:tcW w:w="563" w:type="dxa"/>
            <w:noWrap/>
            <w:vAlign w:val="bottom"/>
          </w:tcPr>
          <w:p w:rsidR="00095653" w:rsidRPr="00742642" w:rsidRDefault="00095653" w:rsidP="00742642">
            <w:pPr>
              <w:rPr>
                <w:bCs/>
                <w:color w:val="000000"/>
                <w:sz w:val="20"/>
                <w:szCs w:val="20"/>
                <w:lang w:eastAsia="pt-BR"/>
              </w:rPr>
            </w:pPr>
          </w:p>
        </w:tc>
        <w:tc>
          <w:tcPr>
            <w:tcW w:w="1762"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Absoluto</w:t>
            </w:r>
          </w:p>
        </w:tc>
        <w:tc>
          <w:tcPr>
            <w:tcW w:w="761" w:type="dxa"/>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w:t>
            </w:r>
          </w:p>
        </w:tc>
        <w:tc>
          <w:tcPr>
            <w:tcW w:w="479" w:type="dxa"/>
            <w:noWrap/>
            <w:vAlign w:val="bottom"/>
          </w:tcPr>
          <w:p w:rsidR="00095653" w:rsidRPr="00742642" w:rsidRDefault="00095653" w:rsidP="00742642">
            <w:pPr>
              <w:rPr>
                <w:bCs/>
                <w:color w:val="000000"/>
                <w:sz w:val="20"/>
                <w:szCs w:val="20"/>
                <w:lang w:eastAsia="pt-BR"/>
              </w:rPr>
            </w:pPr>
          </w:p>
        </w:tc>
        <w:tc>
          <w:tcPr>
            <w:tcW w:w="1475"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Absoluto</w:t>
            </w:r>
          </w:p>
        </w:tc>
        <w:tc>
          <w:tcPr>
            <w:tcW w:w="660" w:type="dxa"/>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w:t>
            </w:r>
          </w:p>
        </w:tc>
        <w:tc>
          <w:tcPr>
            <w:tcW w:w="784" w:type="dxa"/>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w:t>
            </w:r>
          </w:p>
        </w:tc>
      </w:tr>
      <w:tr w:rsidR="00095653" w:rsidRPr="00742642" w:rsidTr="00402299">
        <w:trPr>
          <w:trHeight w:val="305"/>
          <w:jc w:val="center"/>
        </w:trPr>
        <w:tc>
          <w:tcPr>
            <w:tcW w:w="1002" w:type="dxa"/>
            <w:tcBorders>
              <w:top w:val="nil"/>
              <w:left w:val="nil"/>
              <w:bottom w:val="thickThinMediumGap" w:sz="2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01" w:type="dxa"/>
            <w:tcBorders>
              <w:top w:val="nil"/>
              <w:left w:val="nil"/>
              <w:bottom w:val="thickThinMedium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563" w:type="dxa"/>
            <w:tcBorders>
              <w:top w:val="nil"/>
              <w:left w:val="nil"/>
              <w:bottom w:val="thickThinMedium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1001" w:type="dxa"/>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1995</w:t>
            </w:r>
          </w:p>
        </w:tc>
        <w:tc>
          <w:tcPr>
            <w:tcW w:w="761" w:type="dxa"/>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2000</w:t>
            </w:r>
          </w:p>
        </w:tc>
        <w:tc>
          <w:tcPr>
            <w:tcW w:w="761" w:type="dxa"/>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2008</w:t>
            </w:r>
          </w:p>
        </w:tc>
        <w:tc>
          <w:tcPr>
            <w:tcW w:w="479" w:type="dxa"/>
            <w:tcBorders>
              <w:top w:val="nil"/>
              <w:left w:val="nil"/>
              <w:bottom w:val="thickThinMedium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712" w:type="dxa"/>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1995</w:t>
            </w:r>
          </w:p>
        </w:tc>
        <w:tc>
          <w:tcPr>
            <w:tcW w:w="763" w:type="dxa"/>
            <w:gridSpan w:val="2"/>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2000</w:t>
            </w:r>
          </w:p>
        </w:tc>
        <w:tc>
          <w:tcPr>
            <w:tcW w:w="660" w:type="dxa"/>
            <w:tcBorders>
              <w:top w:val="nil"/>
              <w:left w:val="nil"/>
              <w:bottom w:val="thickThinMediumGap" w:sz="24" w:space="0" w:color="auto"/>
              <w:right w:val="nil"/>
            </w:tcBorders>
            <w:noWrap/>
            <w:vAlign w:val="bottom"/>
          </w:tcPr>
          <w:p w:rsidR="00095653" w:rsidRPr="00742642" w:rsidRDefault="00095653" w:rsidP="00742642">
            <w:pPr>
              <w:jc w:val="right"/>
              <w:rPr>
                <w:bCs/>
                <w:color w:val="000000"/>
                <w:sz w:val="20"/>
                <w:szCs w:val="20"/>
                <w:lang w:eastAsia="pt-BR"/>
              </w:rPr>
            </w:pPr>
            <w:r w:rsidRPr="00742642">
              <w:rPr>
                <w:bCs/>
                <w:color w:val="000000"/>
                <w:sz w:val="20"/>
                <w:szCs w:val="20"/>
                <w:lang w:eastAsia="pt-BR"/>
              </w:rPr>
              <w:t>2008</w:t>
            </w:r>
          </w:p>
        </w:tc>
        <w:tc>
          <w:tcPr>
            <w:tcW w:w="784" w:type="dxa"/>
            <w:tcBorders>
              <w:top w:val="nil"/>
              <w:left w:val="nil"/>
              <w:bottom w:val="thickThinMedium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w:t>
            </w:r>
          </w:p>
        </w:tc>
      </w:tr>
      <w:tr w:rsidR="00095653" w:rsidRPr="00742642" w:rsidTr="00402299">
        <w:trPr>
          <w:trHeight w:val="305"/>
          <w:jc w:val="center"/>
        </w:trPr>
        <w:tc>
          <w:tcPr>
            <w:tcW w:w="2566" w:type="dxa"/>
            <w:gridSpan w:val="3"/>
            <w:tcBorders>
              <w:top w:val="thickThinMedium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Confecção (divisão 18)</w:t>
            </w:r>
          </w:p>
        </w:tc>
        <w:tc>
          <w:tcPr>
            <w:tcW w:w="1001" w:type="dxa"/>
            <w:tcBorders>
              <w:top w:val="thickThinMedium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2048</w:t>
            </w:r>
          </w:p>
        </w:tc>
        <w:tc>
          <w:tcPr>
            <w:tcW w:w="761" w:type="dxa"/>
            <w:tcBorders>
              <w:top w:val="thickThinMedium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4419</w:t>
            </w:r>
          </w:p>
        </w:tc>
        <w:tc>
          <w:tcPr>
            <w:tcW w:w="761" w:type="dxa"/>
            <w:tcBorders>
              <w:top w:val="thickThinMediumGap" w:sz="24" w:space="0" w:color="auto"/>
              <w:left w:val="nil"/>
              <w:bottom w:val="nil"/>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10841</w:t>
            </w:r>
          </w:p>
        </w:tc>
        <w:tc>
          <w:tcPr>
            <w:tcW w:w="479" w:type="dxa"/>
            <w:tcBorders>
              <w:top w:val="thickThinMedium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712" w:type="dxa"/>
            <w:tcBorders>
              <w:top w:val="thickThinMedium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602</w:t>
            </w:r>
          </w:p>
        </w:tc>
        <w:tc>
          <w:tcPr>
            <w:tcW w:w="763" w:type="dxa"/>
            <w:gridSpan w:val="2"/>
            <w:tcBorders>
              <w:top w:val="thickThinMedium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1953</w:t>
            </w:r>
          </w:p>
        </w:tc>
        <w:tc>
          <w:tcPr>
            <w:tcW w:w="660" w:type="dxa"/>
            <w:tcBorders>
              <w:top w:val="thickThinMediumGap" w:sz="24" w:space="0" w:color="auto"/>
              <w:left w:val="nil"/>
              <w:bottom w:val="nil"/>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7946</w:t>
            </w:r>
          </w:p>
        </w:tc>
        <w:tc>
          <w:tcPr>
            <w:tcW w:w="784" w:type="dxa"/>
            <w:tcBorders>
              <w:top w:val="thickThinMedium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256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Alimentícios (divisão 15)</w:t>
            </w:r>
          </w:p>
        </w:tc>
        <w:tc>
          <w:tcPr>
            <w:tcW w:w="100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1511</w:t>
            </w:r>
          </w:p>
        </w:tc>
        <w:tc>
          <w:tcPr>
            <w:tcW w:w="76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1624</w:t>
            </w:r>
          </w:p>
        </w:tc>
        <w:tc>
          <w:tcPr>
            <w:tcW w:w="761" w:type="dxa"/>
            <w:noWrap/>
            <w:vAlign w:val="bottom"/>
          </w:tcPr>
          <w:p w:rsidR="00095653" w:rsidRPr="00742642" w:rsidRDefault="00095653" w:rsidP="00742642">
            <w:pPr>
              <w:jc w:val="right"/>
              <w:rPr>
                <w:sz w:val="20"/>
                <w:szCs w:val="20"/>
                <w:lang w:eastAsia="pt-BR"/>
              </w:rPr>
            </w:pPr>
            <w:r w:rsidRPr="00742642">
              <w:rPr>
                <w:sz w:val="20"/>
                <w:szCs w:val="20"/>
                <w:lang w:eastAsia="pt-BR"/>
              </w:rPr>
              <w:t>2817</w:t>
            </w:r>
          </w:p>
        </w:tc>
        <w:tc>
          <w:tcPr>
            <w:tcW w:w="479" w:type="dxa"/>
            <w:noWrap/>
            <w:vAlign w:val="bottom"/>
          </w:tcPr>
          <w:p w:rsidR="00095653" w:rsidRPr="00742642" w:rsidRDefault="00095653" w:rsidP="00742642">
            <w:pPr>
              <w:rPr>
                <w:color w:val="000000"/>
                <w:sz w:val="20"/>
                <w:szCs w:val="20"/>
                <w:lang w:eastAsia="pt-BR"/>
              </w:rPr>
            </w:pPr>
          </w:p>
        </w:tc>
        <w:tc>
          <w:tcPr>
            <w:tcW w:w="712"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4657</w:t>
            </w:r>
          </w:p>
        </w:tc>
        <w:tc>
          <w:tcPr>
            <w:tcW w:w="763" w:type="dxa"/>
            <w:gridSpan w:val="2"/>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4146</w:t>
            </w:r>
          </w:p>
        </w:tc>
        <w:tc>
          <w:tcPr>
            <w:tcW w:w="660" w:type="dxa"/>
            <w:noWrap/>
            <w:vAlign w:val="bottom"/>
          </w:tcPr>
          <w:p w:rsidR="00095653" w:rsidRPr="00742642" w:rsidRDefault="00095653" w:rsidP="00742642">
            <w:pPr>
              <w:jc w:val="right"/>
              <w:rPr>
                <w:sz w:val="20"/>
                <w:szCs w:val="20"/>
                <w:lang w:eastAsia="pt-BR"/>
              </w:rPr>
            </w:pPr>
            <w:r w:rsidRPr="00742642">
              <w:rPr>
                <w:sz w:val="20"/>
                <w:szCs w:val="20"/>
                <w:lang w:eastAsia="pt-BR"/>
              </w:rPr>
              <w:t>11363</w:t>
            </w:r>
          </w:p>
        </w:tc>
        <w:tc>
          <w:tcPr>
            <w:tcW w:w="784" w:type="dxa"/>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256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Moveleira (divisão 36)</w:t>
            </w:r>
          </w:p>
        </w:tc>
        <w:tc>
          <w:tcPr>
            <w:tcW w:w="100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129</w:t>
            </w:r>
          </w:p>
        </w:tc>
        <w:tc>
          <w:tcPr>
            <w:tcW w:w="76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199</w:t>
            </w:r>
          </w:p>
        </w:tc>
        <w:tc>
          <w:tcPr>
            <w:tcW w:w="761" w:type="dxa"/>
            <w:noWrap/>
            <w:vAlign w:val="bottom"/>
          </w:tcPr>
          <w:p w:rsidR="00095653" w:rsidRPr="00742642" w:rsidRDefault="00095653" w:rsidP="00742642">
            <w:pPr>
              <w:jc w:val="right"/>
              <w:rPr>
                <w:sz w:val="20"/>
                <w:szCs w:val="20"/>
                <w:lang w:eastAsia="pt-BR"/>
              </w:rPr>
            </w:pPr>
            <w:r w:rsidRPr="00742642">
              <w:rPr>
                <w:sz w:val="20"/>
                <w:szCs w:val="20"/>
                <w:lang w:eastAsia="pt-BR"/>
              </w:rPr>
              <w:t>383</w:t>
            </w:r>
          </w:p>
        </w:tc>
        <w:tc>
          <w:tcPr>
            <w:tcW w:w="479" w:type="dxa"/>
            <w:noWrap/>
            <w:vAlign w:val="bottom"/>
          </w:tcPr>
          <w:p w:rsidR="00095653" w:rsidRPr="00742642" w:rsidRDefault="00095653" w:rsidP="00742642">
            <w:pPr>
              <w:rPr>
                <w:color w:val="000000"/>
                <w:sz w:val="20"/>
                <w:szCs w:val="20"/>
                <w:lang w:eastAsia="pt-BR"/>
              </w:rPr>
            </w:pPr>
          </w:p>
        </w:tc>
        <w:tc>
          <w:tcPr>
            <w:tcW w:w="712"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427</w:t>
            </w:r>
          </w:p>
        </w:tc>
        <w:tc>
          <w:tcPr>
            <w:tcW w:w="763" w:type="dxa"/>
            <w:gridSpan w:val="2"/>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1256</w:t>
            </w:r>
          </w:p>
        </w:tc>
        <w:tc>
          <w:tcPr>
            <w:tcW w:w="660" w:type="dxa"/>
            <w:noWrap/>
            <w:vAlign w:val="bottom"/>
          </w:tcPr>
          <w:p w:rsidR="00095653" w:rsidRPr="00742642" w:rsidRDefault="00095653" w:rsidP="00742642">
            <w:pPr>
              <w:jc w:val="right"/>
              <w:rPr>
                <w:sz w:val="20"/>
                <w:szCs w:val="20"/>
                <w:lang w:eastAsia="pt-BR"/>
              </w:rPr>
            </w:pPr>
            <w:r w:rsidRPr="00742642">
              <w:rPr>
                <w:sz w:val="20"/>
                <w:szCs w:val="20"/>
                <w:lang w:eastAsia="pt-BR"/>
              </w:rPr>
              <w:t>2011</w:t>
            </w:r>
          </w:p>
        </w:tc>
        <w:tc>
          <w:tcPr>
            <w:tcW w:w="784" w:type="dxa"/>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2003"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Têxtil (divisão 17)</w:t>
            </w:r>
          </w:p>
        </w:tc>
        <w:tc>
          <w:tcPr>
            <w:tcW w:w="563" w:type="dxa"/>
            <w:noWrap/>
            <w:vAlign w:val="bottom"/>
          </w:tcPr>
          <w:p w:rsidR="00095653" w:rsidRPr="00742642" w:rsidRDefault="00095653" w:rsidP="00742642">
            <w:pPr>
              <w:rPr>
                <w:color w:val="000000"/>
                <w:sz w:val="20"/>
                <w:szCs w:val="20"/>
                <w:lang w:eastAsia="pt-BR"/>
              </w:rPr>
            </w:pPr>
          </w:p>
        </w:tc>
        <w:tc>
          <w:tcPr>
            <w:tcW w:w="100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353</w:t>
            </w:r>
          </w:p>
        </w:tc>
        <w:tc>
          <w:tcPr>
            <w:tcW w:w="76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519</w:t>
            </w:r>
          </w:p>
        </w:tc>
        <w:tc>
          <w:tcPr>
            <w:tcW w:w="761" w:type="dxa"/>
            <w:noWrap/>
            <w:vAlign w:val="bottom"/>
          </w:tcPr>
          <w:p w:rsidR="00095653" w:rsidRPr="00742642" w:rsidRDefault="00095653" w:rsidP="00742642">
            <w:pPr>
              <w:jc w:val="right"/>
              <w:rPr>
                <w:sz w:val="20"/>
                <w:szCs w:val="20"/>
                <w:lang w:eastAsia="pt-BR"/>
              </w:rPr>
            </w:pPr>
            <w:r w:rsidRPr="00742642">
              <w:rPr>
                <w:sz w:val="20"/>
                <w:szCs w:val="20"/>
                <w:lang w:eastAsia="pt-BR"/>
              </w:rPr>
              <w:t>743</w:t>
            </w:r>
          </w:p>
        </w:tc>
        <w:tc>
          <w:tcPr>
            <w:tcW w:w="479" w:type="dxa"/>
            <w:noWrap/>
            <w:vAlign w:val="bottom"/>
          </w:tcPr>
          <w:p w:rsidR="00095653" w:rsidRPr="00742642" w:rsidRDefault="00095653" w:rsidP="00742642">
            <w:pPr>
              <w:rPr>
                <w:color w:val="000000"/>
                <w:sz w:val="20"/>
                <w:szCs w:val="20"/>
                <w:lang w:eastAsia="pt-BR"/>
              </w:rPr>
            </w:pPr>
          </w:p>
        </w:tc>
        <w:tc>
          <w:tcPr>
            <w:tcW w:w="712"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846</w:t>
            </w:r>
          </w:p>
        </w:tc>
        <w:tc>
          <w:tcPr>
            <w:tcW w:w="763" w:type="dxa"/>
            <w:gridSpan w:val="2"/>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1158</w:t>
            </w:r>
          </w:p>
        </w:tc>
        <w:tc>
          <w:tcPr>
            <w:tcW w:w="660" w:type="dxa"/>
            <w:noWrap/>
            <w:vAlign w:val="bottom"/>
          </w:tcPr>
          <w:p w:rsidR="00095653" w:rsidRPr="00742642" w:rsidRDefault="00095653" w:rsidP="00742642">
            <w:pPr>
              <w:jc w:val="right"/>
              <w:rPr>
                <w:sz w:val="20"/>
                <w:szCs w:val="20"/>
                <w:lang w:eastAsia="pt-BR"/>
              </w:rPr>
            </w:pPr>
            <w:r w:rsidRPr="00742642">
              <w:rPr>
                <w:sz w:val="20"/>
                <w:szCs w:val="20"/>
                <w:lang w:eastAsia="pt-BR"/>
              </w:rPr>
              <w:t>1601</w:t>
            </w:r>
          </w:p>
        </w:tc>
        <w:tc>
          <w:tcPr>
            <w:tcW w:w="784" w:type="dxa"/>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256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Minerais não-metálicos</w:t>
            </w:r>
          </w:p>
        </w:tc>
        <w:tc>
          <w:tcPr>
            <w:tcW w:w="100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158</w:t>
            </w:r>
          </w:p>
        </w:tc>
        <w:tc>
          <w:tcPr>
            <w:tcW w:w="761"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107</w:t>
            </w:r>
          </w:p>
        </w:tc>
        <w:tc>
          <w:tcPr>
            <w:tcW w:w="761" w:type="dxa"/>
            <w:noWrap/>
            <w:vAlign w:val="bottom"/>
          </w:tcPr>
          <w:p w:rsidR="00095653" w:rsidRPr="00742642" w:rsidRDefault="00095653" w:rsidP="00742642">
            <w:pPr>
              <w:jc w:val="right"/>
              <w:rPr>
                <w:sz w:val="20"/>
                <w:szCs w:val="20"/>
                <w:lang w:eastAsia="pt-BR"/>
              </w:rPr>
            </w:pPr>
            <w:r w:rsidRPr="00742642">
              <w:rPr>
                <w:sz w:val="20"/>
                <w:szCs w:val="20"/>
                <w:lang w:eastAsia="pt-BR"/>
              </w:rPr>
              <w:t>187</w:t>
            </w:r>
          </w:p>
        </w:tc>
        <w:tc>
          <w:tcPr>
            <w:tcW w:w="479" w:type="dxa"/>
            <w:noWrap/>
            <w:vAlign w:val="bottom"/>
          </w:tcPr>
          <w:p w:rsidR="00095653" w:rsidRPr="00742642" w:rsidRDefault="00095653" w:rsidP="00742642">
            <w:pPr>
              <w:rPr>
                <w:color w:val="000000"/>
                <w:sz w:val="20"/>
                <w:szCs w:val="20"/>
                <w:lang w:eastAsia="pt-BR"/>
              </w:rPr>
            </w:pPr>
          </w:p>
        </w:tc>
        <w:tc>
          <w:tcPr>
            <w:tcW w:w="712"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1388</w:t>
            </w:r>
          </w:p>
        </w:tc>
        <w:tc>
          <w:tcPr>
            <w:tcW w:w="763" w:type="dxa"/>
            <w:gridSpan w:val="2"/>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1635</w:t>
            </w:r>
          </w:p>
        </w:tc>
        <w:tc>
          <w:tcPr>
            <w:tcW w:w="660" w:type="dxa"/>
            <w:noWrap/>
            <w:vAlign w:val="bottom"/>
          </w:tcPr>
          <w:p w:rsidR="00095653" w:rsidRPr="00742642" w:rsidRDefault="00095653" w:rsidP="00742642">
            <w:pPr>
              <w:jc w:val="right"/>
              <w:rPr>
                <w:sz w:val="20"/>
                <w:szCs w:val="20"/>
                <w:lang w:eastAsia="pt-BR"/>
              </w:rPr>
            </w:pPr>
            <w:r w:rsidRPr="00742642">
              <w:rPr>
                <w:sz w:val="20"/>
                <w:szCs w:val="20"/>
                <w:lang w:eastAsia="pt-BR"/>
              </w:rPr>
              <w:t>3458</w:t>
            </w:r>
          </w:p>
        </w:tc>
        <w:tc>
          <w:tcPr>
            <w:tcW w:w="784" w:type="dxa"/>
            <w:noWrap/>
            <w:vAlign w:val="bottom"/>
          </w:tcPr>
          <w:p w:rsidR="00095653" w:rsidRPr="00742642" w:rsidRDefault="00095653" w:rsidP="00742642">
            <w:pPr>
              <w:rPr>
                <w:color w:val="000000"/>
                <w:sz w:val="20"/>
                <w:szCs w:val="20"/>
                <w:lang w:eastAsia="pt-BR"/>
              </w:rPr>
            </w:pPr>
          </w:p>
        </w:tc>
      </w:tr>
      <w:tr w:rsidR="00095653" w:rsidRPr="00742642" w:rsidTr="00402299">
        <w:trPr>
          <w:trHeight w:val="305"/>
          <w:jc w:val="center"/>
        </w:trPr>
        <w:tc>
          <w:tcPr>
            <w:tcW w:w="2003" w:type="dxa"/>
            <w:gridSpan w:val="2"/>
            <w:tcBorders>
              <w:top w:val="nil"/>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(divisão 26)</w:t>
            </w:r>
          </w:p>
        </w:tc>
        <w:tc>
          <w:tcPr>
            <w:tcW w:w="563"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01"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61"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xml:space="preserve"> </w:t>
            </w:r>
          </w:p>
        </w:tc>
        <w:tc>
          <w:tcPr>
            <w:tcW w:w="761" w:type="dxa"/>
            <w:tcBorders>
              <w:top w:val="nil"/>
              <w:left w:val="nil"/>
              <w:bottom w:val="single" w:sz="4" w:space="0" w:color="auto"/>
              <w:right w:val="nil"/>
            </w:tcBorders>
            <w:noWrap/>
            <w:vAlign w:val="bottom"/>
          </w:tcPr>
          <w:p w:rsidR="00095653" w:rsidRPr="00742642" w:rsidRDefault="00095653" w:rsidP="00742642">
            <w:pPr>
              <w:rPr>
                <w:sz w:val="20"/>
                <w:szCs w:val="20"/>
                <w:lang w:eastAsia="pt-BR"/>
              </w:rPr>
            </w:pPr>
            <w:r w:rsidRPr="00742642">
              <w:rPr>
                <w:sz w:val="20"/>
                <w:szCs w:val="20"/>
                <w:lang w:eastAsia="pt-BR"/>
              </w:rPr>
              <w:t> </w:t>
            </w:r>
          </w:p>
        </w:tc>
        <w:tc>
          <w:tcPr>
            <w:tcW w:w="479"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12"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63" w:type="dxa"/>
            <w:gridSpan w:val="2"/>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xml:space="preserve"> </w:t>
            </w:r>
          </w:p>
        </w:tc>
        <w:tc>
          <w:tcPr>
            <w:tcW w:w="660" w:type="dxa"/>
            <w:tcBorders>
              <w:top w:val="nil"/>
              <w:left w:val="nil"/>
              <w:bottom w:val="single" w:sz="4" w:space="0" w:color="auto"/>
              <w:right w:val="nil"/>
            </w:tcBorders>
            <w:noWrap/>
            <w:vAlign w:val="bottom"/>
          </w:tcPr>
          <w:p w:rsidR="00095653" w:rsidRPr="00742642" w:rsidRDefault="00095653" w:rsidP="00742642">
            <w:pPr>
              <w:rPr>
                <w:sz w:val="20"/>
                <w:szCs w:val="20"/>
                <w:lang w:eastAsia="pt-BR"/>
              </w:rPr>
            </w:pPr>
            <w:r w:rsidRPr="00742642">
              <w:rPr>
                <w:sz w:val="20"/>
                <w:szCs w:val="20"/>
                <w:lang w:eastAsia="pt-BR"/>
              </w:rPr>
              <w:t> </w:t>
            </w:r>
          </w:p>
        </w:tc>
        <w:tc>
          <w:tcPr>
            <w:tcW w:w="784"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r>
      <w:tr w:rsidR="00095653" w:rsidRPr="00742642" w:rsidTr="00402299">
        <w:trPr>
          <w:trHeight w:val="305"/>
          <w:jc w:val="center"/>
        </w:trPr>
        <w:tc>
          <w:tcPr>
            <w:tcW w:w="2003" w:type="dxa"/>
            <w:gridSpan w:val="2"/>
            <w:tcBorders>
              <w:top w:val="nil"/>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Demais divisões</w:t>
            </w:r>
          </w:p>
        </w:tc>
        <w:tc>
          <w:tcPr>
            <w:tcW w:w="563"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01"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711</w:t>
            </w:r>
          </w:p>
        </w:tc>
        <w:tc>
          <w:tcPr>
            <w:tcW w:w="761"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765</w:t>
            </w:r>
          </w:p>
        </w:tc>
        <w:tc>
          <w:tcPr>
            <w:tcW w:w="761" w:type="dxa"/>
            <w:tcBorders>
              <w:top w:val="nil"/>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1303</w:t>
            </w:r>
          </w:p>
        </w:tc>
        <w:tc>
          <w:tcPr>
            <w:tcW w:w="479"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12"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3469</w:t>
            </w:r>
          </w:p>
        </w:tc>
        <w:tc>
          <w:tcPr>
            <w:tcW w:w="763" w:type="dxa"/>
            <w:gridSpan w:val="2"/>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2612</w:t>
            </w:r>
          </w:p>
        </w:tc>
        <w:tc>
          <w:tcPr>
            <w:tcW w:w="660" w:type="dxa"/>
            <w:tcBorders>
              <w:top w:val="nil"/>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5840</w:t>
            </w:r>
          </w:p>
        </w:tc>
        <w:tc>
          <w:tcPr>
            <w:tcW w:w="784"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r>
      <w:tr w:rsidR="00095653" w:rsidRPr="00742642" w:rsidTr="00402299">
        <w:trPr>
          <w:trHeight w:val="305"/>
          <w:jc w:val="center"/>
        </w:trPr>
        <w:tc>
          <w:tcPr>
            <w:tcW w:w="1002" w:type="dxa"/>
            <w:tcBorders>
              <w:top w:val="nil"/>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Total</w:t>
            </w:r>
          </w:p>
        </w:tc>
        <w:tc>
          <w:tcPr>
            <w:tcW w:w="1001"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563"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01"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4910</w:t>
            </w:r>
          </w:p>
        </w:tc>
        <w:tc>
          <w:tcPr>
            <w:tcW w:w="761"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7634</w:t>
            </w:r>
          </w:p>
        </w:tc>
        <w:tc>
          <w:tcPr>
            <w:tcW w:w="761" w:type="dxa"/>
            <w:tcBorders>
              <w:top w:val="nil"/>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16274</w:t>
            </w:r>
          </w:p>
        </w:tc>
        <w:tc>
          <w:tcPr>
            <w:tcW w:w="479"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12"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11389</w:t>
            </w:r>
          </w:p>
        </w:tc>
        <w:tc>
          <w:tcPr>
            <w:tcW w:w="763" w:type="dxa"/>
            <w:gridSpan w:val="2"/>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12760</w:t>
            </w:r>
          </w:p>
        </w:tc>
        <w:tc>
          <w:tcPr>
            <w:tcW w:w="660" w:type="dxa"/>
            <w:tcBorders>
              <w:top w:val="nil"/>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32219</w:t>
            </w:r>
          </w:p>
        </w:tc>
        <w:tc>
          <w:tcPr>
            <w:tcW w:w="784"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r>
      <w:tr w:rsidR="00095653" w:rsidRPr="00742642" w:rsidTr="00402299">
        <w:trPr>
          <w:trHeight w:val="305"/>
          <w:jc w:val="center"/>
        </w:trPr>
        <w:tc>
          <w:tcPr>
            <w:tcW w:w="6592" w:type="dxa"/>
            <w:gridSpan w:val="9"/>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Fonte: Elaboração própria a partir Base de Dados RAISMIGRA 1995-2008</w:t>
            </w:r>
          </w:p>
        </w:tc>
        <w:tc>
          <w:tcPr>
            <w:tcW w:w="451" w:type="dxa"/>
            <w:noWrap/>
            <w:vAlign w:val="bottom"/>
          </w:tcPr>
          <w:p w:rsidR="00095653" w:rsidRPr="00742642" w:rsidRDefault="00095653" w:rsidP="00742642">
            <w:pPr>
              <w:rPr>
                <w:color w:val="000000"/>
                <w:sz w:val="20"/>
                <w:szCs w:val="20"/>
                <w:lang w:eastAsia="pt-BR"/>
              </w:rPr>
            </w:pPr>
          </w:p>
        </w:tc>
        <w:tc>
          <w:tcPr>
            <w:tcW w:w="660" w:type="dxa"/>
            <w:noWrap/>
            <w:vAlign w:val="bottom"/>
          </w:tcPr>
          <w:p w:rsidR="00095653" w:rsidRPr="00742642" w:rsidRDefault="00095653" w:rsidP="00742642">
            <w:pPr>
              <w:rPr>
                <w:color w:val="000000"/>
                <w:sz w:val="20"/>
                <w:szCs w:val="20"/>
                <w:lang w:eastAsia="pt-BR"/>
              </w:rPr>
            </w:pPr>
          </w:p>
        </w:tc>
        <w:tc>
          <w:tcPr>
            <w:tcW w:w="784" w:type="dxa"/>
            <w:noWrap/>
            <w:vAlign w:val="bottom"/>
          </w:tcPr>
          <w:p w:rsidR="00095653" w:rsidRPr="00742642" w:rsidRDefault="00095653" w:rsidP="00742642">
            <w:pPr>
              <w:rPr>
                <w:color w:val="000000"/>
                <w:sz w:val="20"/>
                <w:szCs w:val="20"/>
                <w:lang w:eastAsia="pt-BR"/>
              </w:rPr>
            </w:pPr>
          </w:p>
        </w:tc>
      </w:tr>
    </w:tbl>
    <w:p w:rsidR="00095653" w:rsidRPr="00742642" w:rsidRDefault="00095653" w:rsidP="00742642">
      <w:pPr>
        <w:jc w:val="both"/>
        <w:rPr>
          <w:lang w:eastAsia="pt-BR"/>
        </w:rPr>
      </w:pPr>
    </w:p>
    <w:p w:rsidR="00095653" w:rsidRPr="00742642" w:rsidRDefault="00095653" w:rsidP="00742642">
      <w:pPr>
        <w:widowControl w:val="0"/>
        <w:overflowPunct w:val="0"/>
        <w:autoSpaceDE w:val="0"/>
        <w:autoSpaceDN w:val="0"/>
        <w:adjustRightInd w:val="0"/>
        <w:ind w:firstLine="567"/>
        <w:jc w:val="both"/>
        <w:rPr>
          <w:kern w:val="28"/>
        </w:rPr>
      </w:pPr>
      <w:r w:rsidRPr="00742642">
        <w:rPr>
          <w:kern w:val="28"/>
        </w:rPr>
        <w:t>Com relação à faixa etária da população analisada, para todas as divisões, a idade média das mulheres empregadas, no ano de 1995, foi de 31 anos, passando a 29 anos, no ano de 2008. Já a idade média masculina, para todas as divisões da indústria de transformação, foi de 30 anos, no ano de 1995 e de 29 anos, em 2008. Na divisão 18 (confecções) a idade feminina que era de 23 anos, em 1995, passou a ser 29 anos, em 2008, e a masculina passou de 21 anos, em 1995, a 26 anos, em 2008. No segmento têxtil (divisão 17), a idade média feminina, em 1995, era de 26 anos, e passou a ser 31, anos em 2008. Paralelamente, a idade média masculina que era de 27 anos, em 1995, permaneceu a mesma em 2008, o que permite dizer que não houve uma mudança significativa na faixa etária característica dos setores, sem o amadurecimento da mão-de-obra contratada para ambos os sexos (</w:t>
      </w:r>
      <w:r w:rsidRPr="00742642">
        <w:rPr>
          <w:i/>
          <w:kern w:val="28"/>
        </w:rPr>
        <w:t>Tabela 3</w:t>
      </w:r>
      <w:r w:rsidRPr="00742642">
        <w:rPr>
          <w:kern w:val="28"/>
        </w:rPr>
        <w:t>)</w:t>
      </w:r>
      <w:r w:rsidRPr="00742642">
        <w:t xml:space="preserve">. </w:t>
      </w:r>
    </w:p>
    <w:p w:rsidR="00095653" w:rsidRPr="00742642" w:rsidRDefault="00095653" w:rsidP="00742642">
      <w:pPr>
        <w:rPr>
          <w:b/>
          <w:lang w:eastAsia="pt-BR"/>
        </w:rPr>
      </w:pPr>
    </w:p>
    <w:p w:rsidR="00095653" w:rsidRPr="00742642" w:rsidRDefault="00095653" w:rsidP="00742642">
      <w:pPr>
        <w:rPr>
          <w:lang w:eastAsia="pt-BR"/>
        </w:rPr>
      </w:pPr>
      <w:r w:rsidRPr="00742642">
        <w:rPr>
          <w:b/>
          <w:lang w:eastAsia="pt-BR"/>
        </w:rPr>
        <w:t>Tabela 3</w:t>
      </w:r>
      <w:r w:rsidRPr="00742642">
        <w:rPr>
          <w:lang w:eastAsia="pt-BR"/>
        </w:rPr>
        <w:t>: Idade média da mão-de-obra empregada por divisão CNAE 95 e por gênero para os anos de 1995 e 2008.</w:t>
      </w:r>
    </w:p>
    <w:p w:rsidR="00095653" w:rsidRPr="00742642" w:rsidRDefault="00095653" w:rsidP="00742642">
      <w:pPr>
        <w:rPr>
          <w:lang w:eastAsia="pt-BR"/>
        </w:rPr>
      </w:pPr>
    </w:p>
    <w:tbl>
      <w:tblPr>
        <w:tblW w:w="8856" w:type="dxa"/>
        <w:jc w:val="center"/>
        <w:tblCellMar>
          <w:left w:w="70" w:type="dxa"/>
          <w:right w:w="70" w:type="dxa"/>
        </w:tblCellMar>
        <w:tblLook w:val="00A0" w:firstRow="1" w:lastRow="0" w:firstColumn="1" w:lastColumn="0" w:noHBand="0" w:noVBand="0"/>
      </w:tblPr>
      <w:tblGrid>
        <w:gridCol w:w="509"/>
        <w:gridCol w:w="1087"/>
        <w:gridCol w:w="1088"/>
        <w:gridCol w:w="1053"/>
        <w:gridCol w:w="1124"/>
        <w:gridCol w:w="1123"/>
        <w:gridCol w:w="244"/>
        <w:gridCol w:w="1017"/>
        <w:gridCol w:w="167"/>
        <w:gridCol w:w="64"/>
        <w:gridCol w:w="596"/>
        <w:gridCol w:w="520"/>
        <w:gridCol w:w="264"/>
      </w:tblGrid>
      <w:tr w:rsidR="00095653" w:rsidRPr="00742642" w:rsidTr="00402299">
        <w:trPr>
          <w:gridBefore w:val="1"/>
          <w:gridAfter w:val="1"/>
          <w:wBefore w:w="509" w:type="dxa"/>
          <w:wAfter w:w="264" w:type="dxa"/>
          <w:trHeight w:val="371"/>
          <w:jc w:val="center"/>
        </w:trPr>
        <w:tc>
          <w:tcPr>
            <w:tcW w:w="1087" w:type="dxa"/>
            <w:tcBorders>
              <w:top w:val="thinThick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1088" w:type="dxa"/>
            <w:tcBorders>
              <w:top w:val="thinThick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1053" w:type="dxa"/>
            <w:tcBorders>
              <w:top w:val="thinThick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4855" w:type="dxa"/>
            <w:gridSpan w:val="8"/>
            <w:tcBorders>
              <w:top w:val="thinThickSmallGap" w:sz="24" w:space="0" w:color="auto"/>
              <w:left w:val="nil"/>
              <w:bottom w:val="nil"/>
              <w:right w:val="nil"/>
            </w:tcBorders>
            <w:noWrap/>
            <w:vAlign w:val="bottom"/>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Idade Média</w:t>
            </w:r>
          </w:p>
        </w:tc>
      </w:tr>
      <w:tr w:rsidR="00095653" w:rsidRPr="00742642" w:rsidTr="00402299">
        <w:trPr>
          <w:gridBefore w:val="1"/>
          <w:gridAfter w:val="1"/>
          <w:wBefore w:w="509" w:type="dxa"/>
          <w:wAfter w:w="264" w:type="dxa"/>
          <w:trHeight w:val="371"/>
          <w:jc w:val="center"/>
        </w:trPr>
        <w:tc>
          <w:tcPr>
            <w:tcW w:w="3228" w:type="dxa"/>
            <w:gridSpan w:val="3"/>
            <w:vMerge w:val="restart"/>
            <w:tcBorders>
              <w:top w:val="nil"/>
              <w:left w:val="nil"/>
              <w:bottom w:val="thickThinSmallGap" w:sz="24" w:space="0" w:color="auto"/>
              <w:right w:val="nil"/>
            </w:tcBorders>
            <w:noWrap/>
            <w:vAlign w:val="center"/>
          </w:tcPr>
          <w:p w:rsidR="00095653" w:rsidRPr="00742642" w:rsidRDefault="00095653" w:rsidP="00742642">
            <w:pPr>
              <w:rPr>
                <w:bCs/>
                <w:color w:val="000000"/>
                <w:sz w:val="20"/>
                <w:szCs w:val="20"/>
                <w:lang w:eastAsia="pt-BR"/>
              </w:rPr>
            </w:pPr>
            <w:r w:rsidRPr="00742642">
              <w:rPr>
                <w:bCs/>
                <w:color w:val="000000"/>
                <w:sz w:val="20"/>
                <w:szCs w:val="20"/>
                <w:lang w:eastAsia="pt-BR"/>
              </w:rPr>
              <w:t>Atividade Econômica (CNAE)</w:t>
            </w:r>
          </w:p>
        </w:tc>
        <w:tc>
          <w:tcPr>
            <w:tcW w:w="2491" w:type="dxa"/>
            <w:gridSpan w:val="3"/>
            <w:noWrap/>
            <w:vAlign w:val="bottom"/>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1995</w:t>
            </w:r>
          </w:p>
        </w:tc>
        <w:tc>
          <w:tcPr>
            <w:tcW w:w="2364" w:type="dxa"/>
            <w:gridSpan w:val="5"/>
            <w:noWrap/>
            <w:vAlign w:val="bottom"/>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2008</w:t>
            </w:r>
          </w:p>
        </w:tc>
      </w:tr>
      <w:tr w:rsidR="00095653" w:rsidRPr="00742642" w:rsidTr="00402299">
        <w:trPr>
          <w:gridBefore w:val="1"/>
          <w:gridAfter w:val="1"/>
          <w:wBefore w:w="509" w:type="dxa"/>
          <w:wAfter w:w="264" w:type="dxa"/>
          <w:trHeight w:val="371"/>
          <w:jc w:val="center"/>
        </w:trPr>
        <w:tc>
          <w:tcPr>
            <w:tcW w:w="0" w:type="auto"/>
            <w:gridSpan w:val="3"/>
            <w:vMerge/>
            <w:tcBorders>
              <w:top w:val="nil"/>
              <w:left w:val="nil"/>
              <w:bottom w:val="nil"/>
              <w:right w:val="nil"/>
            </w:tcBorders>
            <w:vAlign w:val="center"/>
          </w:tcPr>
          <w:p w:rsidR="00095653" w:rsidRPr="00742642" w:rsidRDefault="00095653" w:rsidP="00742642">
            <w:pPr>
              <w:rPr>
                <w:bCs/>
                <w:color w:val="000000"/>
                <w:sz w:val="20"/>
                <w:szCs w:val="20"/>
                <w:lang w:eastAsia="pt-BR"/>
              </w:rPr>
            </w:pPr>
          </w:p>
        </w:tc>
        <w:tc>
          <w:tcPr>
            <w:tcW w:w="1124" w:type="dxa"/>
            <w:tcBorders>
              <w:top w:val="nil"/>
              <w:left w:val="nil"/>
              <w:bottom w:val="thickThinSmall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Feminino</w:t>
            </w:r>
          </w:p>
        </w:tc>
        <w:tc>
          <w:tcPr>
            <w:tcW w:w="1123" w:type="dxa"/>
            <w:tcBorders>
              <w:top w:val="nil"/>
              <w:left w:val="nil"/>
              <w:bottom w:val="thickThinSmall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Masculino</w:t>
            </w:r>
          </w:p>
        </w:tc>
        <w:tc>
          <w:tcPr>
            <w:tcW w:w="1492" w:type="dxa"/>
            <w:gridSpan w:val="4"/>
            <w:tcBorders>
              <w:top w:val="nil"/>
              <w:left w:val="nil"/>
              <w:bottom w:val="thickThinSmall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Feminino</w:t>
            </w:r>
          </w:p>
        </w:tc>
        <w:tc>
          <w:tcPr>
            <w:tcW w:w="1116" w:type="dxa"/>
            <w:gridSpan w:val="2"/>
            <w:tcBorders>
              <w:top w:val="nil"/>
              <w:left w:val="nil"/>
              <w:bottom w:val="thickThinSmall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Masculino</w:t>
            </w:r>
          </w:p>
        </w:tc>
      </w:tr>
      <w:tr w:rsidR="00095653" w:rsidRPr="00742642" w:rsidTr="00402299">
        <w:trPr>
          <w:gridBefore w:val="1"/>
          <w:gridAfter w:val="1"/>
          <w:wBefore w:w="509" w:type="dxa"/>
          <w:wAfter w:w="264" w:type="dxa"/>
          <w:trHeight w:val="280"/>
          <w:jc w:val="center"/>
        </w:trPr>
        <w:tc>
          <w:tcPr>
            <w:tcW w:w="3228" w:type="dxa"/>
            <w:gridSpan w:val="3"/>
            <w:tcBorders>
              <w:top w:val="thickThinSmallGap" w:sz="24" w:space="0" w:color="auto"/>
              <w:left w:val="nil"/>
              <w:bottom w:val="nil"/>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Confecção (divisão 18)</w:t>
            </w:r>
          </w:p>
        </w:tc>
        <w:tc>
          <w:tcPr>
            <w:tcW w:w="1124" w:type="dxa"/>
            <w:tcBorders>
              <w:top w:val="thickThinSmallGap" w:sz="24" w:space="0" w:color="auto"/>
              <w:left w:val="nil"/>
              <w:bottom w:val="nil"/>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23,00</w:t>
            </w:r>
          </w:p>
        </w:tc>
        <w:tc>
          <w:tcPr>
            <w:tcW w:w="1123" w:type="dxa"/>
            <w:tcBorders>
              <w:top w:val="thickThinSmallGap" w:sz="24" w:space="0" w:color="auto"/>
              <w:left w:val="nil"/>
              <w:bottom w:val="nil"/>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21,00</w:t>
            </w:r>
          </w:p>
        </w:tc>
        <w:tc>
          <w:tcPr>
            <w:tcW w:w="1492" w:type="dxa"/>
            <w:gridSpan w:val="4"/>
            <w:tcBorders>
              <w:top w:val="thickThinSmallGap" w:sz="24" w:space="0" w:color="auto"/>
              <w:left w:val="nil"/>
              <w:bottom w:val="nil"/>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29,00</w:t>
            </w:r>
          </w:p>
        </w:tc>
        <w:tc>
          <w:tcPr>
            <w:tcW w:w="1116" w:type="dxa"/>
            <w:gridSpan w:val="2"/>
            <w:tcBorders>
              <w:top w:val="thickThinSmallGap" w:sz="24" w:space="0" w:color="auto"/>
              <w:left w:val="nil"/>
              <w:bottom w:val="nil"/>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26,00</w:t>
            </w:r>
          </w:p>
        </w:tc>
      </w:tr>
      <w:tr w:rsidR="00095653" w:rsidRPr="00742642" w:rsidTr="00402299">
        <w:trPr>
          <w:gridBefore w:val="1"/>
          <w:gridAfter w:val="1"/>
          <w:wBefore w:w="509" w:type="dxa"/>
          <w:wAfter w:w="264" w:type="dxa"/>
          <w:trHeight w:val="178"/>
          <w:jc w:val="center"/>
        </w:trPr>
        <w:tc>
          <w:tcPr>
            <w:tcW w:w="3228" w:type="dxa"/>
            <w:gridSpan w:val="3"/>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Alimentícios (divisão 15)</w:t>
            </w:r>
          </w:p>
        </w:tc>
        <w:tc>
          <w:tcPr>
            <w:tcW w:w="1124"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27,00</w:t>
            </w:r>
          </w:p>
        </w:tc>
        <w:tc>
          <w:tcPr>
            <w:tcW w:w="1123"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28,00</w:t>
            </w:r>
          </w:p>
        </w:tc>
        <w:tc>
          <w:tcPr>
            <w:tcW w:w="1492" w:type="dxa"/>
            <w:gridSpan w:val="4"/>
            <w:noWrap/>
            <w:vAlign w:val="bottom"/>
          </w:tcPr>
          <w:p w:rsidR="00095653" w:rsidRPr="00742642" w:rsidRDefault="00095653" w:rsidP="00742642">
            <w:pPr>
              <w:rPr>
                <w:sz w:val="20"/>
                <w:szCs w:val="20"/>
                <w:lang w:eastAsia="pt-BR"/>
              </w:rPr>
            </w:pPr>
            <w:r w:rsidRPr="00742642">
              <w:rPr>
                <w:sz w:val="20"/>
                <w:szCs w:val="20"/>
                <w:lang w:eastAsia="pt-BR"/>
              </w:rPr>
              <w:t xml:space="preserve">         29,00</w:t>
            </w:r>
          </w:p>
        </w:tc>
        <w:tc>
          <w:tcPr>
            <w:tcW w:w="1116" w:type="dxa"/>
            <w:gridSpan w:val="2"/>
            <w:noWrap/>
            <w:vAlign w:val="bottom"/>
          </w:tcPr>
          <w:p w:rsidR="00095653" w:rsidRPr="00742642" w:rsidRDefault="00095653" w:rsidP="00742642">
            <w:pPr>
              <w:jc w:val="center"/>
              <w:rPr>
                <w:sz w:val="20"/>
                <w:szCs w:val="20"/>
                <w:lang w:eastAsia="pt-BR"/>
              </w:rPr>
            </w:pPr>
            <w:r w:rsidRPr="00742642">
              <w:rPr>
                <w:sz w:val="20"/>
                <w:szCs w:val="20"/>
                <w:lang w:eastAsia="pt-BR"/>
              </w:rPr>
              <w:t>32,00</w:t>
            </w:r>
          </w:p>
        </w:tc>
      </w:tr>
      <w:tr w:rsidR="00095653" w:rsidRPr="00742642" w:rsidTr="00402299">
        <w:trPr>
          <w:gridBefore w:val="1"/>
          <w:gridAfter w:val="1"/>
          <w:wBefore w:w="509" w:type="dxa"/>
          <w:wAfter w:w="264" w:type="dxa"/>
          <w:trHeight w:val="252"/>
          <w:jc w:val="center"/>
        </w:trPr>
        <w:tc>
          <w:tcPr>
            <w:tcW w:w="3228" w:type="dxa"/>
            <w:gridSpan w:val="3"/>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Moveleira (divisão 36)</w:t>
            </w:r>
          </w:p>
        </w:tc>
        <w:tc>
          <w:tcPr>
            <w:tcW w:w="1124"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25,00</w:t>
            </w:r>
          </w:p>
        </w:tc>
        <w:tc>
          <w:tcPr>
            <w:tcW w:w="1123"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27,00</w:t>
            </w:r>
          </w:p>
        </w:tc>
        <w:tc>
          <w:tcPr>
            <w:tcW w:w="1492" w:type="dxa"/>
            <w:gridSpan w:val="4"/>
            <w:noWrap/>
            <w:vAlign w:val="bottom"/>
          </w:tcPr>
          <w:p w:rsidR="00095653" w:rsidRPr="00742642" w:rsidRDefault="00095653" w:rsidP="00742642">
            <w:pPr>
              <w:jc w:val="center"/>
              <w:rPr>
                <w:sz w:val="20"/>
                <w:szCs w:val="20"/>
                <w:lang w:eastAsia="pt-BR"/>
              </w:rPr>
            </w:pPr>
            <w:r w:rsidRPr="00742642">
              <w:rPr>
                <w:sz w:val="20"/>
                <w:szCs w:val="20"/>
                <w:lang w:eastAsia="pt-BR"/>
              </w:rPr>
              <w:t>27,00</w:t>
            </w:r>
          </w:p>
        </w:tc>
        <w:tc>
          <w:tcPr>
            <w:tcW w:w="1116" w:type="dxa"/>
            <w:gridSpan w:val="2"/>
            <w:noWrap/>
            <w:vAlign w:val="bottom"/>
          </w:tcPr>
          <w:p w:rsidR="00095653" w:rsidRPr="00742642" w:rsidRDefault="00095653" w:rsidP="00742642">
            <w:pPr>
              <w:jc w:val="center"/>
              <w:rPr>
                <w:sz w:val="20"/>
                <w:szCs w:val="20"/>
                <w:lang w:eastAsia="pt-BR"/>
              </w:rPr>
            </w:pPr>
            <w:r w:rsidRPr="00742642">
              <w:rPr>
                <w:sz w:val="20"/>
                <w:szCs w:val="20"/>
                <w:lang w:eastAsia="pt-BR"/>
              </w:rPr>
              <w:t>30,00</w:t>
            </w:r>
          </w:p>
        </w:tc>
      </w:tr>
      <w:tr w:rsidR="00095653" w:rsidRPr="00742642" w:rsidTr="00402299">
        <w:trPr>
          <w:gridBefore w:val="1"/>
          <w:gridAfter w:val="1"/>
          <w:wBefore w:w="509" w:type="dxa"/>
          <w:wAfter w:w="264" w:type="dxa"/>
          <w:trHeight w:val="168"/>
          <w:jc w:val="center"/>
        </w:trPr>
        <w:tc>
          <w:tcPr>
            <w:tcW w:w="2175" w:type="dxa"/>
            <w:gridSpan w:val="2"/>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Têxtil (divisão 17)</w:t>
            </w:r>
          </w:p>
        </w:tc>
        <w:tc>
          <w:tcPr>
            <w:tcW w:w="1053" w:type="dxa"/>
            <w:noWrap/>
            <w:vAlign w:val="bottom"/>
          </w:tcPr>
          <w:p w:rsidR="00095653" w:rsidRPr="00742642" w:rsidRDefault="00095653" w:rsidP="00742642">
            <w:pPr>
              <w:rPr>
                <w:color w:val="000000"/>
                <w:sz w:val="20"/>
                <w:szCs w:val="20"/>
                <w:lang w:eastAsia="pt-BR"/>
              </w:rPr>
            </w:pPr>
          </w:p>
        </w:tc>
        <w:tc>
          <w:tcPr>
            <w:tcW w:w="1124"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26,00</w:t>
            </w:r>
          </w:p>
        </w:tc>
        <w:tc>
          <w:tcPr>
            <w:tcW w:w="1123" w:type="dxa"/>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27,00</w:t>
            </w:r>
          </w:p>
        </w:tc>
        <w:tc>
          <w:tcPr>
            <w:tcW w:w="1492" w:type="dxa"/>
            <w:gridSpan w:val="4"/>
            <w:noWrap/>
            <w:vAlign w:val="bottom"/>
          </w:tcPr>
          <w:p w:rsidR="00095653" w:rsidRPr="00742642" w:rsidRDefault="00095653" w:rsidP="00742642">
            <w:pPr>
              <w:jc w:val="center"/>
              <w:rPr>
                <w:sz w:val="20"/>
                <w:szCs w:val="20"/>
                <w:lang w:eastAsia="pt-BR"/>
              </w:rPr>
            </w:pPr>
            <w:r w:rsidRPr="00742642">
              <w:rPr>
                <w:sz w:val="20"/>
                <w:szCs w:val="20"/>
                <w:lang w:eastAsia="pt-BR"/>
              </w:rPr>
              <w:t>31,00</w:t>
            </w:r>
          </w:p>
        </w:tc>
        <w:tc>
          <w:tcPr>
            <w:tcW w:w="1116" w:type="dxa"/>
            <w:gridSpan w:val="2"/>
            <w:noWrap/>
            <w:vAlign w:val="bottom"/>
          </w:tcPr>
          <w:p w:rsidR="00095653" w:rsidRPr="00742642" w:rsidRDefault="00095653" w:rsidP="00742642">
            <w:pPr>
              <w:jc w:val="center"/>
              <w:rPr>
                <w:sz w:val="20"/>
                <w:szCs w:val="20"/>
                <w:lang w:eastAsia="pt-BR"/>
              </w:rPr>
            </w:pPr>
            <w:r w:rsidRPr="00742642">
              <w:rPr>
                <w:sz w:val="20"/>
                <w:szCs w:val="20"/>
                <w:lang w:eastAsia="pt-BR"/>
              </w:rPr>
              <w:t>27,00</w:t>
            </w:r>
          </w:p>
        </w:tc>
      </w:tr>
      <w:tr w:rsidR="00095653" w:rsidRPr="00742642" w:rsidTr="00402299">
        <w:trPr>
          <w:gridBefore w:val="1"/>
          <w:gridAfter w:val="1"/>
          <w:wBefore w:w="509" w:type="dxa"/>
          <w:wAfter w:w="264" w:type="dxa"/>
          <w:trHeight w:val="156"/>
          <w:jc w:val="center"/>
        </w:trPr>
        <w:tc>
          <w:tcPr>
            <w:tcW w:w="3228" w:type="dxa"/>
            <w:gridSpan w:val="3"/>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Minerais não metálicos (divisão 26)</w:t>
            </w:r>
          </w:p>
        </w:tc>
        <w:tc>
          <w:tcPr>
            <w:tcW w:w="1124" w:type="dxa"/>
            <w:tcBorders>
              <w:top w:val="nil"/>
              <w:left w:val="nil"/>
              <w:bottom w:val="single" w:sz="4" w:space="0" w:color="auto"/>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28,00</w:t>
            </w:r>
          </w:p>
        </w:tc>
        <w:tc>
          <w:tcPr>
            <w:tcW w:w="1123" w:type="dxa"/>
            <w:tcBorders>
              <w:top w:val="nil"/>
              <w:left w:val="nil"/>
              <w:bottom w:val="single" w:sz="4" w:space="0" w:color="auto"/>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31,00</w:t>
            </w:r>
          </w:p>
        </w:tc>
        <w:tc>
          <w:tcPr>
            <w:tcW w:w="1492" w:type="dxa"/>
            <w:gridSpan w:val="4"/>
            <w:tcBorders>
              <w:top w:val="nil"/>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32,00</w:t>
            </w:r>
          </w:p>
        </w:tc>
        <w:tc>
          <w:tcPr>
            <w:tcW w:w="1116" w:type="dxa"/>
            <w:gridSpan w:val="2"/>
            <w:tcBorders>
              <w:top w:val="nil"/>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33,00</w:t>
            </w:r>
          </w:p>
        </w:tc>
      </w:tr>
      <w:tr w:rsidR="00095653" w:rsidRPr="00742642" w:rsidTr="00402299">
        <w:trPr>
          <w:gridBefore w:val="1"/>
          <w:gridAfter w:val="1"/>
          <w:wBefore w:w="509" w:type="dxa"/>
          <w:wAfter w:w="264" w:type="dxa"/>
          <w:trHeight w:val="163"/>
          <w:jc w:val="center"/>
        </w:trPr>
        <w:tc>
          <w:tcPr>
            <w:tcW w:w="1087" w:type="dxa"/>
            <w:tcBorders>
              <w:top w:val="single" w:sz="4" w:space="0" w:color="auto"/>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Total</w:t>
            </w:r>
          </w:p>
        </w:tc>
        <w:tc>
          <w:tcPr>
            <w:tcW w:w="1088" w:type="dxa"/>
            <w:tcBorders>
              <w:top w:val="single" w:sz="4" w:space="0" w:color="auto"/>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53" w:type="dxa"/>
            <w:tcBorders>
              <w:top w:val="single" w:sz="4" w:space="0" w:color="auto"/>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124" w:type="dxa"/>
            <w:tcBorders>
              <w:top w:val="single" w:sz="4" w:space="0" w:color="auto"/>
              <w:left w:val="nil"/>
              <w:bottom w:val="single" w:sz="4" w:space="0" w:color="auto"/>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31,00</w:t>
            </w:r>
          </w:p>
        </w:tc>
        <w:tc>
          <w:tcPr>
            <w:tcW w:w="1123" w:type="dxa"/>
            <w:tcBorders>
              <w:top w:val="single" w:sz="4" w:space="0" w:color="auto"/>
              <w:left w:val="nil"/>
              <w:bottom w:val="single" w:sz="4" w:space="0" w:color="auto"/>
              <w:right w:val="nil"/>
            </w:tcBorders>
            <w:noWrap/>
            <w:vAlign w:val="bottom"/>
          </w:tcPr>
          <w:p w:rsidR="00095653" w:rsidRPr="00742642" w:rsidRDefault="00095653" w:rsidP="00742642">
            <w:pPr>
              <w:jc w:val="center"/>
              <w:rPr>
                <w:color w:val="000000"/>
                <w:sz w:val="20"/>
                <w:szCs w:val="20"/>
                <w:lang w:eastAsia="pt-BR"/>
              </w:rPr>
            </w:pPr>
            <w:r w:rsidRPr="00742642">
              <w:rPr>
                <w:color w:val="000000"/>
                <w:sz w:val="20"/>
                <w:szCs w:val="20"/>
                <w:lang w:eastAsia="pt-BR"/>
              </w:rPr>
              <w:t>30,00</w:t>
            </w:r>
          </w:p>
        </w:tc>
        <w:tc>
          <w:tcPr>
            <w:tcW w:w="1492" w:type="dxa"/>
            <w:gridSpan w:val="4"/>
            <w:tcBorders>
              <w:top w:val="single" w:sz="4" w:space="0" w:color="auto"/>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29,00</w:t>
            </w:r>
          </w:p>
        </w:tc>
        <w:tc>
          <w:tcPr>
            <w:tcW w:w="1116" w:type="dxa"/>
            <w:gridSpan w:val="2"/>
            <w:tcBorders>
              <w:top w:val="single" w:sz="4" w:space="0" w:color="auto"/>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29,00</w:t>
            </w:r>
          </w:p>
        </w:tc>
      </w:tr>
      <w:tr w:rsidR="00095653" w:rsidRPr="00742642" w:rsidTr="00402299">
        <w:trPr>
          <w:trHeight w:val="305"/>
          <w:jc w:val="center"/>
        </w:trPr>
        <w:tc>
          <w:tcPr>
            <w:tcW w:w="7245" w:type="dxa"/>
            <w:gridSpan w:val="8"/>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xml:space="preserve">         Fonte: Elaboração própria a partir Base de Dados RAISMIGRA 1995-2008</w:t>
            </w:r>
          </w:p>
        </w:tc>
        <w:tc>
          <w:tcPr>
            <w:tcW w:w="167" w:type="dxa"/>
            <w:noWrap/>
            <w:vAlign w:val="bottom"/>
          </w:tcPr>
          <w:p w:rsidR="00095653" w:rsidRPr="00742642" w:rsidRDefault="00095653" w:rsidP="00742642">
            <w:pPr>
              <w:rPr>
                <w:color w:val="000000"/>
                <w:sz w:val="20"/>
                <w:szCs w:val="20"/>
                <w:lang w:eastAsia="pt-BR"/>
              </w:rPr>
            </w:pPr>
          </w:p>
        </w:tc>
        <w:tc>
          <w:tcPr>
            <w:tcW w:w="660" w:type="dxa"/>
            <w:gridSpan w:val="2"/>
            <w:noWrap/>
            <w:vAlign w:val="bottom"/>
          </w:tcPr>
          <w:p w:rsidR="00095653" w:rsidRPr="00742642" w:rsidRDefault="00095653" w:rsidP="00742642">
            <w:pPr>
              <w:rPr>
                <w:color w:val="000000"/>
                <w:sz w:val="20"/>
                <w:szCs w:val="20"/>
                <w:lang w:eastAsia="pt-BR"/>
              </w:rPr>
            </w:pPr>
          </w:p>
        </w:tc>
        <w:tc>
          <w:tcPr>
            <w:tcW w:w="784" w:type="dxa"/>
            <w:gridSpan w:val="2"/>
            <w:noWrap/>
            <w:vAlign w:val="bottom"/>
          </w:tcPr>
          <w:p w:rsidR="00095653" w:rsidRPr="00742642" w:rsidRDefault="00095653" w:rsidP="00742642">
            <w:pPr>
              <w:rPr>
                <w:color w:val="000000"/>
                <w:sz w:val="20"/>
                <w:szCs w:val="20"/>
                <w:lang w:eastAsia="pt-BR"/>
              </w:rPr>
            </w:pPr>
          </w:p>
        </w:tc>
      </w:tr>
    </w:tbl>
    <w:p w:rsidR="00095653" w:rsidRPr="00742642" w:rsidRDefault="00095653" w:rsidP="00742642">
      <w:pPr>
        <w:widowControl w:val="0"/>
        <w:overflowPunct w:val="0"/>
        <w:autoSpaceDE w:val="0"/>
        <w:autoSpaceDN w:val="0"/>
        <w:adjustRightInd w:val="0"/>
        <w:ind w:firstLine="708"/>
        <w:jc w:val="both"/>
        <w:rPr>
          <w:rFonts w:ascii="Georgia" w:hAnsi="Georgia" w:cs="Arial"/>
          <w:kern w:val="28"/>
          <w:lang w:eastAsia="pt-BR"/>
        </w:rPr>
      </w:pPr>
    </w:p>
    <w:p w:rsidR="00095653" w:rsidRDefault="00095653" w:rsidP="00742642">
      <w:pPr>
        <w:widowControl w:val="0"/>
        <w:overflowPunct w:val="0"/>
        <w:autoSpaceDE w:val="0"/>
        <w:autoSpaceDN w:val="0"/>
        <w:adjustRightInd w:val="0"/>
        <w:ind w:firstLine="567"/>
        <w:jc w:val="both"/>
        <w:rPr>
          <w:kern w:val="28"/>
          <w:lang w:eastAsia="pt-BR"/>
        </w:rPr>
      </w:pPr>
      <w:r w:rsidRPr="00742642">
        <w:rPr>
          <w:kern w:val="28"/>
          <w:lang w:eastAsia="pt-BR"/>
        </w:rPr>
        <w:t xml:space="preserve">Do ponto de vista da formação educacional do trabalhador, podemos constatar que a maioria dos trabalhadores, tanto homens como mulheres, empregados na indústria de transformação, possuía pelo menos o segundo grau completo (18,89 %), em 1995, contudo apenas uma minoria havia completado o ensino superior (4,63 %) no mesmo período. Nas </w:t>
      </w:r>
      <w:r w:rsidRPr="00742642">
        <w:rPr>
          <w:i/>
          <w:kern w:val="28"/>
          <w:lang w:eastAsia="pt-BR"/>
        </w:rPr>
        <w:t>divisões 17 e 18</w:t>
      </w:r>
      <w:r w:rsidRPr="00742642">
        <w:rPr>
          <w:kern w:val="28"/>
          <w:lang w:eastAsia="pt-BR"/>
        </w:rPr>
        <w:t>, a maioria dos homens não chegaram a concluir a 4ª série (21,51 % e 21,93 %, respectivamente) e as mulheres, em sua maioria possuíam a 4ª série incompleta na divisão 17 (21,53 %) e a 8ª série compl</w:t>
      </w:r>
      <w:r w:rsidR="00742642">
        <w:rPr>
          <w:kern w:val="28"/>
          <w:lang w:eastAsia="pt-BR"/>
        </w:rPr>
        <w:t>eta na divisão 18 (25,78 %).  (</w:t>
      </w:r>
      <w:r w:rsidRPr="00742642">
        <w:rPr>
          <w:kern w:val="28"/>
          <w:lang w:eastAsia="pt-BR"/>
        </w:rPr>
        <w:t xml:space="preserve">Ver </w:t>
      </w:r>
      <w:r w:rsidRPr="00742642">
        <w:rPr>
          <w:i/>
          <w:kern w:val="28"/>
          <w:lang w:eastAsia="pt-BR"/>
        </w:rPr>
        <w:t>tabela 4</w:t>
      </w:r>
      <w:r w:rsidRPr="00742642">
        <w:rPr>
          <w:kern w:val="28"/>
          <w:lang w:eastAsia="pt-BR"/>
        </w:rPr>
        <w:t>)</w:t>
      </w:r>
    </w:p>
    <w:p w:rsidR="00742642" w:rsidRPr="00742642" w:rsidRDefault="00742642" w:rsidP="00742642">
      <w:pPr>
        <w:widowControl w:val="0"/>
        <w:overflowPunct w:val="0"/>
        <w:autoSpaceDE w:val="0"/>
        <w:autoSpaceDN w:val="0"/>
        <w:adjustRightInd w:val="0"/>
        <w:ind w:firstLine="567"/>
        <w:jc w:val="both"/>
        <w:rPr>
          <w:kern w:val="28"/>
        </w:rPr>
      </w:pPr>
      <w:r w:rsidRPr="00742642">
        <w:rPr>
          <w:kern w:val="28"/>
        </w:rPr>
        <w:t xml:space="preserve">No ano de 2008, 14,09% dos homens e, também, das mulheres que trabalhavam na indústria de transformação haviam concluído a 8ª série. Comparativamente ao ano de 1995, houve uma elevação do </w:t>
      </w:r>
      <w:proofErr w:type="spellStart"/>
      <w:r w:rsidRPr="00742642">
        <w:rPr>
          <w:kern w:val="28"/>
        </w:rPr>
        <w:t>numero</w:t>
      </w:r>
      <w:proofErr w:type="spellEnd"/>
      <w:r w:rsidRPr="00742642">
        <w:rPr>
          <w:kern w:val="28"/>
        </w:rPr>
        <w:t xml:space="preserve"> de trabalhadores com ensino superior (11,20 %) para todas as divisões. Nas </w:t>
      </w:r>
      <w:r w:rsidRPr="00742642">
        <w:rPr>
          <w:i/>
          <w:kern w:val="28"/>
        </w:rPr>
        <w:t>divisões 17 e 18</w:t>
      </w:r>
      <w:r w:rsidRPr="00742642">
        <w:rPr>
          <w:kern w:val="28"/>
        </w:rPr>
        <w:t xml:space="preserve">, a maioria dos homens não chegou a concluir a 8ª série (27,98 % e 27,56 %, respectivamente) e as mulheres, em sua maioria, possuíam o ensino médio completo (37,74 % e 26,26 %). (Ver </w:t>
      </w:r>
      <w:r w:rsidRPr="00742642">
        <w:rPr>
          <w:i/>
          <w:kern w:val="28"/>
        </w:rPr>
        <w:t>tabela 5</w:t>
      </w:r>
      <w:r w:rsidRPr="00742642">
        <w:rPr>
          <w:kern w:val="28"/>
        </w:rPr>
        <w:t xml:space="preserve">) </w:t>
      </w:r>
    </w:p>
    <w:p w:rsidR="00742642" w:rsidRDefault="00742642" w:rsidP="00742642">
      <w:pPr>
        <w:widowControl w:val="0"/>
        <w:overflowPunct w:val="0"/>
        <w:autoSpaceDE w:val="0"/>
        <w:autoSpaceDN w:val="0"/>
        <w:adjustRightInd w:val="0"/>
        <w:ind w:firstLine="567"/>
        <w:jc w:val="both"/>
        <w:rPr>
          <w:kern w:val="28"/>
          <w:lang w:eastAsia="pt-BR"/>
        </w:rPr>
      </w:pPr>
    </w:p>
    <w:p w:rsidR="00742642" w:rsidRPr="00742642" w:rsidRDefault="00742642" w:rsidP="00742642">
      <w:pPr>
        <w:widowControl w:val="0"/>
        <w:overflowPunct w:val="0"/>
        <w:autoSpaceDE w:val="0"/>
        <w:autoSpaceDN w:val="0"/>
        <w:adjustRightInd w:val="0"/>
        <w:ind w:firstLine="567"/>
        <w:jc w:val="both"/>
        <w:rPr>
          <w:kern w:val="28"/>
          <w:lang w:eastAsia="pt-BR"/>
        </w:rPr>
      </w:pPr>
    </w:p>
    <w:p w:rsidR="00095653" w:rsidRDefault="00095653" w:rsidP="00742642">
      <w:pPr>
        <w:rPr>
          <w:b/>
          <w:lang w:eastAsia="pt-BR"/>
        </w:rPr>
      </w:pPr>
    </w:p>
    <w:p w:rsidR="00742642" w:rsidRDefault="00742642" w:rsidP="00742642">
      <w:pPr>
        <w:rPr>
          <w:b/>
          <w:lang w:eastAsia="pt-BR"/>
        </w:rPr>
      </w:pPr>
    </w:p>
    <w:p w:rsidR="00742642" w:rsidRDefault="00742642" w:rsidP="00742642">
      <w:pPr>
        <w:rPr>
          <w:b/>
          <w:lang w:eastAsia="pt-BR"/>
        </w:rPr>
      </w:pPr>
    </w:p>
    <w:p w:rsidR="00742642" w:rsidRDefault="00742642" w:rsidP="00742642">
      <w:pPr>
        <w:rPr>
          <w:b/>
          <w:lang w:eastAsia="pt-BR"/>
        </w:rPr>
      </w:pPr>
    </w:p>
    <w:p w:rsidR="00742642" w:rsidRDefault="00742642" w:rsidP="00742642">
      <w:pPr>
        <w:rPr>
          <w:b/>
          <w:lang w:eastAsia="pt-BR"/>
        </w:rPr>
      </w:pPr>
    </w:p>
    <w:p w:rsidR="00742642" w:rsidRDefault="00742642" w:rsidP="00742642">
      <w:pPr>
        <w:rPr>
          <w:b/>
          <w:lang w:eastAsia="pt-BR"/>
        </w:rPr>
      </w:pPr>
    </w:p>
    <w:p w:rsidR="00742642" w:rsidRPr="00742642" w:rsidRDefault="00742642" w:rsidP="00742642">
      <w:pPr>
        <w:rPr>
          <w:b/>
          <w:lang w:eastAsia="pt-BR"/>
        </w:rPr>
      </w:pPr>
    </w:p>
    <w:p w:rsidR="00095653" w:rsidRPr="00742642" w:rsidRDefault="00095653" w:rsidP="00742642">
      <w:pPr>
        <w:ind w:right="49"/>
        <w:jc w:val="both"/>
        <w:rPr>
          <w:lang w:eastAsia="pt-BR"/>
        </w:rPr>
      </w:pPr>
      <w:r w:rsidRPr="00742642">
        <w:rPr>
          <w:b/>
          <w:lang w:eastAsia="pt-BR"/>
        </w:rPr>
        <w:lastRenderedPageBreak/>
        <w:t>Tabela 4</w:t>
      </w:r>
      <w:r w:rsidRPr="00742642">
        <w:rPr>
          <w:lang w:eastAsia="pt-BR"/>
        </w:rPr>
        <w:t>: Distribuição do grau de instrução da mesorregião agreste de Pernambuco por divisão CNAE 95 e gênero (em %) no ano de 1995.</w:t>
      </w:r>
    </w:p>
    <w:p w:rsidR="00095653" w:rsidRPr="00742642" w:rsidRDefault="00095653" w:rsidP="00742642">
      <w:pPr>
        <w:ind w:right="49"/>
        <w:jc w:val="both"/>
        <w:rPr>
          <w:lang w:eastAsia="pt-BR"/>
        </w:rPr>
      </w:pPr>
    </w:p>
    <w:p w:rsidR="00742642" w:rsidRDefault="00742642" w:rsidP="00742642">
      <w:pPr>
        <w:ind w:left="-426" w:right="49"/>
        <w:jc w:val="both"/>
        <w:rPr>
          <w:noProof/>
          <w:lang w:eastAsia="pt-BR"/>
        </w:rPr>
      </w:pPr>
    </w:p>
    <w:p w:rsidR="00095653" w:rsidRPr="00742642" w:rsidRDefault="006C0874" w:rsidP="00742642">
      <w:pPr>
        <w:ind w:left="-426" w:right="49"/>
        <w:jc w:val="both"/>
        <w:rPr>
          <w:lang w:eastAsia="pt-BR"/>
        </w:rPr>
      </w:pPr>
      <w:r w:rsidRPr="00742642">
        <w:rPr>
          <w:noProof/>
          <w:lang w:eastAsia="pt-BR"/>
        </w:rPr>
        <w:drawing>
          <wp:inline distT="0" distB="0" distL="0" distR="0">
            <wp:extent cx="6200775" cy="2171700"/>
            <wp:effectExtent l="0" t="0" r="9525"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0775" cy="2171700"/>
                    </a:xfrm>
                    <a:prstGeom prst="rect">
                      <a:avLst/>
                    </a:prstGeom>
                    <a:noFill/>
                    <a:ln>
                      <a:noFill/>
                    </a:ln>
                  </pic:spPr>
                </pic:pic>
              </a:graphicData>
            </a:graphic>
          </wp:inline>
        </w:drawing>
      </w:r>
    </w:p>
    <w:p w:rsidR="00095653" w:rsidRPr="00742642" w:rsidRDefault="00095653" w:rsidP="00742642">
      <w:pPr>
        <w:widowControl w:val="0"/>
        <w:overflowPunct w:val="0"/>
        <w:autoSpaceDE w:val="0"/>
        <w:autoSpaceDN w:val="0"/>
        <w:adjustRightInd w:val="0"/>
        <w:jc w:val="both"/>
        <w:rPr>
          <w:kern w:val="28"/>
        </w:rPr>
      </w:pPr>
    </w:p>
    <w:p w:rsidR="00095653" w:rsidRPr="00742642" w:rsidRDefault="00095653" w:rsidP="00742642">
      <w:pPr>
        <w:widowControl w:val="0"/>
        <w:overflowPunct w:val="0"/>
        <w:autoSpaceDE w:val="0"/>
        <w:autoSpaceDN w:val="0"/>
        <w:adjustRightInd w:val="0"/>
        <w:ind w:firstLine="708"/>
        <w:jc w:val="both"/>
        <w:rPr>
          <w:kern w:val="28"/>
        </w:rPr>
      </w:pPr>
    </w:p>
    <w:p w:rsidR="00095653" w:rsidRPr="00742642" w:rsidRDefault="00095653" w:rsidP="00742642">
      <w:pPr>
        <w:widowControl w:val="0"/>
        <w:overflowPunct w:val="0"/>
        <w:autoSpaceDE w:val="0"/>
        <w:autoSpaceDN w:val="0"/>
        <w:adjustRightInd w:val="0"/>
        <w:jc w:val="both"/>
        <w:rPr>
          <w:lang w:eastAsia="pt-BR"/>
        </w:rPr>
      </w:pPr>
      <w:r w:rsidRPr="00742642">
        <w:rPr>
          <w:b/>
          <w:kern w:val="28"/>
          <w:lang w:eastAsia="pt-BR"/>
        </w:rPr>
        <w:t>Tabela 5</w:t>
      </w:r>
      <w:r w:rsidRPr="00742642">
        <w:rPr>
          <w:kern w:val="28"/>
          <w:lang w:eastAsia="pt-BR"/>
        </w:rPr>
        <w:t xml:space="preserve">: </w:t>
      </w:r>
      <w:r w:rsidRPr="00742642">
        <w:rPr>
          <w:lang w:eastAsia="pt-BR"/>
        </w:rPr>
        <w:t>Distribuição do grau de instrução da mesorregião agreste de Pernambuco por divisão CNAE 95 e gênero (em %) no ano de 2008.</w:t>
      </w:r>
    </w:p>
    <w:p w:rsidR="00095653" w:rsidRPr="00742642" w:rsidRDefault="00095653" w:rsidP="00742642">
      <w:pPr>
        <w:widowControl w:val="0"/>
        <w:overflowPunct w:val="0"/>
        <w:autoSpaceDE w:val="0"/>
        <w:autoSpaceDN w:val="0"/>
        <w:adjustRightInd w:val="0"/>
        <w:jc w:val="both"/>
        <w:rPr>
          <w:lang w:eastAsia="pt-BR"/>
        </w:rPr>
      </w:pPr>
    </w:p>
    <w:p w:rsidR="00095653" w:rsidRPr="00742642" w:rsidRDefault="006C0874" w:rsidP="00742642">
      <w:pPr>
        <w:widowControl w:val="0"/>
        <w:overflowPunct w:val="0"/>
        <w:autoSpaceDE w:val="0"/>
        <w:autoSpaceDN w:val="0"/>
        <w:adjustRightInd w:val="0"/>
        <w:ind w:left="-851" w:firstLine="142"/>
        <w:jc w:val="both"/>
        <w:rPr>
          <w:kern w:val="28"/>
          <w:lang w:eastAsia="pt-BR"/>
        </w:rPr>
      </w:pPr>
      <w:r w:rsidRPr="00742642">
        <w:rPr>
          <w:noProof/>
          <w:lang w:eastAsia="pt-BR"/>
        </w:rPr>
        <w:drawing>
          <wp:inline distT="0" distB="0" distL="0" distR="0">
            <wp:extent cx="6410325" cy="2114550"/>
            <wp:effectExtent l="0" t="0" r="9525"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2114550"/>
                    </a:xfrm>
                    <a:prstGeom prst="rect">
                      <a:avLst/>
                    </a:prstGeom>
                    <a:noFill/>
                    <a:ln>
                      <a:noFill/>
                    </a:ln>
                  </pic:spPr>
                </pic:pic>
              </a:graphicData>
            </a:graphic>
          </wp:inline>
        </w:drawing>
      </w:r>
    </w:p>
    <w:p w:rsidR="00095653" w:rsidRPr="00742642" w:rsidRDefault="00095653" w:rsidP="00742642">
      <w:pPr>
        <w:widowControl w:val="0"/>
        <w:overflowPunct w:val="0"/>
        <w:autoSpaceDE w:val="0"/>
        <w:autoSpaceDN w:val="0"/>
        <w:adjustRightInd w:val="0"/>
        <w:jc w:val="both"/>
        <w:rPr>
          <w:kern w:val="28"/>
        </w:rPr>
      </w:pPr>
    </w:p>
    <w:p w:rsidR="00095653" w:rsidRPr="00742642" w:rsidRDefault="00095653" w:rsidP="00742642">
      <w:pPr>
        <w:widowControl w:val="0"/>
        <w:overflowPunct w:val="0"/>
        <w:autoSpaceDE w:val="0"/>
        <w:autoSpaceDN w:val="0"/>
        <w:adjustRightInd w:val="0"/>
        <w:ind w:firstLine="708"/>
        <w:jc w:val="both"/>
        <w:rPr>
          <w:kern w:val="28"/>
        </w:rPr>
      </w:pPr>
      <w:r w:rsidRPr="00742642">
        <w:rPr>
          <w:kern w:val="28"/>
        </w:rPr>
        <w:t xml:space="preserve">Em resumo, pode-se dizer que no segmento têxtil do Agreste Pernambucano, grande parte da mão-de-obra ocupada é constituída por homens (68,30%), enquanto no segmento de confecções a mão-de-obra predominante é feminina (57,70%) com idade média em torno de 40 anos e formação educacional de nível médio completo. </w:t>
      </w:r>
    </w:p>
    <w:p w:rsidR="00095653" w:rsidRPr="00742642" w:rsidRDefault="00095653" w:rsidP="00742642">
      <w:pPr>
        <w:widowControl w:val="0"/>
        <w:overflowPunct w:val="0"/>
        <w:autoSpaceDE w:val="0"/>
        <w:autoSpaceDN w:val="0"/>
        <w:adjustRightInd w:val="0"/>
        <w:ind w:firstLine="708"/>
        <w:jc w:val="both"/>
        <w:rPr>
          <w:kern w:val="28"/>
        </w:rPr>
      </w:pPr>
    </w:p>
    <w:p w:rsidR="00095653" w:rsidRPr="00742642" w:rsidRDefault="00D205C6" w:rsidP="00742642">
      <w:pPr>
        <w:widowControl w:val="0"/>
        <w:overflowPunct w:val="0"/>
        <w:autoSpaceDE w:val="0"/>
        <w:autoSpaceDN w:val="0"/>
        <w:adjustRightInd w:val="0"/>
        <w:jc w:val="both"/>
        <w:rPr>
          <w:b/>
          <w:kern w:val="28"/>
          <w:lang w:eastAsia="pt-BR"/>
        </w:rPr>
      </w:pPr>
      <w:r w:rsidRPr="00742642">
        <w:rPr>
          <w:b/>
          <w:caps/>
          <w:kern w:val="28"/>
          <w:lang w:eastAsia="pt-BR"/>
        </w:rPr>
        <w:t>3</w:t>
      </w:r>
      <w:r w:rsidR="00572F5F" w:rsidRPr="00742642">
        <w:rPr>
          <w:b/>
          <w:caps/>
          <w:kern w:val="28"/>
          <w:lang w:eastAsia="pt-BR"/>
        </w:rPr>
        <w:t xml:space="preserve">.2. </w:t>
      </w:r>
      <w:r w:rsidRPr="00742642">
        <w:rPr>
          <w:b/>
          <w:caps/>
          <w:kern w:val="28"/>
          <w:lang w:eastAsia="pt-BR"/>
        </w:rPr>
        <w:t>C</w:t>
      </w:r>
      <w:r w:rsidRPr="00742642">
        <w:rPr>
          <w:b/>
          <w:kern w:val="28"/>
          <w:lang w:eastAsia="pt-BR"/>
        </w:rPr>
        <w:t>aracterização do Mercado de Trabalho</w:t>
      </w:r>
    </w:p>
    <w:p w:rsidR="00095653" w:rsidRPr="00742642" w:rsidRDefault="00095653" w:rsidP="00742642">
      <w:pPr>
        <w:jc w:val="both"/>
        <w:rPr>
          <w:kern w:val="28"/>
          <w:lang w:eastAsia="pt-BR"/>
        </w:rPr>
      </w:pPr>
    </w:p>
    <w:p w:rsidR="00095653" w:rsidRPr="00742642" w:rsidRDefault="00095653" w:rsidP="00742642">
      <w:pPr>
        <w:ind w:firstLine="567"/>
        <w:jc w:val="both"/>
        <w:rPr>
          <w:kern w:val="28"/>
          <w:lang w:eastAsia="pt-BR"/>
        </w:rPr>
      </w:pPr>
      <w:r w:rsidRPr="00742642">
        <w:rPr>
          <w:kern w:val="28"/>
          <w:lang w:eastAsia="pt-BR"/>
        </w:rPr>
        <w:t xml:space="preserve">Na descrição do sistema produtivo do agreste foram selecionadas as informações referentes ao tempo médio de cada trabalhador no emprego e a quantidade de desligamentos para cada divisão do CNAE 95. Seguindo o mesmo padrão anterior, as tabelas mostram os resultados específicos daquelas divisões onde se constatou maior volume de mão de obra empregada. Verificou-se que, para as divisões 18 e 17, o tempo médio no emprego das mulheres foi de 47 meses (aproximadamente 4 anos), em 1995.  Enquanto a duração no emprego na divisão 17 cresceu vertiginosamente, em 2008, com </w:t>
      </w:r>
      <w:proofErr w:type="gramStart"/>
      <w:r w:rsidRPr="00742642">
        <w:rPr>
          <w:kern w:val="28"/>
          <w:lang w:eastAsia="pt-BR"/>
        </w:rPr>
        <w:t>um  registro</w:t>
      </w:r>
      <w:proofErr w:type="gramEnd"/>
      <w:r w:rsidRPr="00742642">
        <w:rPr>
          <w:kern w:val="28"/>
          <w:lang w:eastAsia="pt-BR"/>
        </w:rPr>
        <w:t xml:space="preserve"> de uma média de 54,44 meses, na divisão 18 houve um decrescimento, caiu para 37,15 meses. Para as demais divisões o tempo de emprego das mulheres também cresceu passando de 38,11 meses, em 1995, para 50,43 </w:t>
      </w:r>
      <w:r w:rsidRPr="00742642">
        <w:rPr>
          <w:kern w:val="28"/>
          <w:lang w:eastAsia="pt-BR"/>
        </w:rPr>
        <w:lastRenderedPageBreak/>
        <w:t>meses, em 2008. Sobre a mão de obra masculina, o tempo médio de emprego na divisão 18 (confecções) foi de 36 meses, em 1995, passando para 27,78 meses, em 2008. Já na divisão 17 (têxtil) o crescimento foi um pouco superior, de 39 meses, em 1995, e de 40,97, no ano de 2008. Nas demais divisões o tempo médio de emprego masculino também cresceu, passou de 46,82 meses, em 1995, para 63,47 meses, em 2008 (</w:t>
      </w:r>
      <w:r w:rsidRPr="00742642">
        <w:rPr>
          <w:i/>
          <w:kern w:val="28"/>
          <w:lang w:eastAsia="pt-BR"/>
        </w:rPr>
        <w:t>Tabela 6</w:t>
      </w:r>
      <w:r w:rsidRPr="00742642">
        <w:rPr>
          <w:kern w:val="28"/>
          <w:lang w:eastAsia="pt-BR"/>
        </w:rPr>
        <w:t>). Esses dados informam que o tempo médio de fixação no emprego na indústria de transformação não é tão baixo quanto imaginava-se ser. A duração média ficou em torno de 4 anos tanto para homens quanto para mulheres.</w:t>
      </w:r>
    </w:p>
    <w:p w:rsidR="00095653" w:rsidRPr="00742642" w:rsidRDefault="00095653" w:rsidP="00742642">
      <w:pPr>
        <w:jc w:val="both"/>
        <w:rPr>
          <w:kern w:val="28"/>
          <w:lang w:eastAsia="pt-BR"/>
        </w:rPr>
      </w:pPr>
    </w:p>
    <w:p w:rsidR="00095653" w:rsidRPr="00742642" w:rsidRDefault="00095653" w:rsidP="00742642">
      <w:pPr>
        <w:widowControl w:val="0"/>
        <w:overflowPunct w:val="0"/>
        <w:autoSpaceDE w:val="0"/>
        <w:autoSpaceDN w:val="0"/>
        <w:adjustRightInd w:val="0"/>
        <w:jc w:val="both"/>
        <w:rPr>
          <w:kern w:val="28"/>
          <w:lang w:eastAsia="pt-BR"/>
        </w:rPr>
      </w:pPr>
      <w:r w:rsidRPr="00742642">
        <w:rPr>
          <w:b/>
          <w:kern w:val="28"/>
          <w:lang w:eastAsia="pt-BR"/>
        </w:rPr>
        <w:t>Tabela 6</w:t>
      </w:r>
      <w:r w:rsidRPr="00742642">
        <w:rPr>
          <w:kern w:val="28"/>
          <w:lang w:eastAsia="pt-BR"/>
        </w:rPr>
        <w:t>: Tempo médio no emprego (meses) para as divisões da indústria de Transformação (CNAE 95) por gênero para os anos de 1995, 2000 e 2008.</w:t>
      </w:r>
    </w:p>
    <w:p w:rsidR="00095653" w:rsidRPr="00742642" w:rsidRDefault="00095653" w:rsidP="00742642">
      <w:pPr>
        <w:widowControl w:val="0"/>
        <w:overflowPunct w:val="0"/>
        <w:autoSpaceDE w:val="0"/>
        <w:autoSpaceDN w:val="0"/>
        <w:adjustRightInd w:val="0"/>
        <w:jc w:val="both"/>
        <w:rPr>
          <w:kern w:val="28"/>
          <w:lang w:eastAsia="pt-BR"/>
        </w:rPr>
      </w:pPr>
    </w:p>
    <w:tbl>
      <w:tblPr>
        <w:tblW w:w="8652" w:type="dxa"/>
        <w:jc w:val="center"/>
        <w:tblCellMar>
          <w:left w:w="70" w:type="dxa"/>
          <w:right w:w="70" w:type="dxa"/>
        </w:tblCellMar>
        <w:tblLook w:val="00A0" w:firstRow="1" w:lastRow="0" w:firstColumn="1" w:lastColumn="0" w:noHBand="0" w:noVBand="0"/>
      </w:tblPr>
      <w:tblGrid>
        <w:gridCol w:w="1044"/>
        <w:gridCol w:w="1046"/>
        <w:gridCol w:w="1046"/>
        <w:gridCol w:w="1044"/>
        <w:gridCol w:w="784"/>
        <w:gridCol w:w="853"/>
        <w:gridCol w:w="895"/>
        <w:gridCol w:w="873"/>
        <w:gridCol w:w="108"/>
        <w:gridCol w:w="819"/>
        <w:gridCol w:w="140"/>
      </w:tblGrid>
      <w:tr w:rsidR="00095653" w:rsidRPr="00742642" w:rsidTr="00402299">
        <w:trPr>
          <w:trHeight w:val="210"/>
          <w:jc w:val="center"/>
        </w:trPr>
        <w:tc>
          <w:tcPr>
            <w:tcW w:w="1044" w:type="dxa"/>
            <w:tcBorders>
              <w:top w:val="thinThick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1046" w:type="dxa"/>
            <w:tcBorders>
              <w:top w:val="thinThick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1046" w:type="dxa"/>
            <w:tcBorders>
              <w:top w:val="thinThick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c>
          <w:tcPr>
            <w:tcW w:w="4557" w:type="dxa"/>
            <w:gridSpan w:val="6"/>
            <w:tcBorders>
              <w:top w:val="thinThick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Tempo Médio no Emprego (meses)</w:t>
            </w:r>
          </w:p>
        </w:tc>
        <w:tc>
          <w:tcPr>
            <w:tcW w:w="959" w:type="dxa"/>
            <w:gridSpan w:val="2"/>
            <w:tcBorders>
              <w:top w:val="thinThickSmallGap" w:sz="24" w:space="0" w:color="auto"/>
              <w:left w:val="nil"/>
              <w:bottom w:val="nil"/>
              <w:right w:val="nil"/>
            </w:tcBorders>
            <w:noWrap/>
            <w:vAlign w:val="bottom"/>
          </w:tcPr>
          <w:p w:rsidR="00095653" w:rsidRPr="00742642" w:rsidRDefault="00095653" w:rsidP="00742642">
            <w:pPr>
              <w:rPr>
                <w:color w:val="000000"/>
                <w:sz w:val="20"/>
                <w:szCs w:val="20"/>
                <w:lang w:eastAsia="pt-BR"/>
              </w:rPr>
            </w:pPr>
          </w:p>
        </w:tc>
      </w:tr>
      <w:tr w:rsidR="00095653" w:rsidRPr="00742642" w:rsidTr="00402299">
        <w:trPr>
          <w:trHeight w:val="210"/>
          <w:jc w:val="center"/>
        </w:trPr>
        <w:tc>
          <w:tcPr>
            <w:tcW w:w="313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Atividade Econômica </w:t>
            </w:r>
          </w:p>
        </w:tc>
        <w:tc>
          <w:tcPr>
            <w:tcW w:w="1044" w:type="dxa"/>
            <w:noWrap/>
            <w:vAlign w:val="bottom"/>
          </w:tcPr>
          <w:p w:rsidR="00095653" w:rsidRPr="00742642" w:rsidRDefault="00095653" w:rsidP="00742642">
            <w:pPr>
              <w:rPr>
                <w:color w:val="000000"/>
                <w:sz w:val="20"/>
                <w:szCs w:val="20"/>
                <w:lang w:eastAsia="pt-BR"/>
              </w:rPr>
            </w:pPr>
          </w:p>
        </w:tc>
        <w:tc>
          <w:tcPr>
            <w:tcW w:w="784" w:type="dxa"/>
            <w:noWrap/>
            <w:vAlign w:val="bottom"/>
          </w:tcPr>
          <w:p w:rsidR="00095653" w:rsidRPr="00742642" w:rsidRDefault="00095653" w:rsidP="00742642">
            <w:pPr>
              <w:rPr>
                <w:color w:val="000000"/>
                <w:sz w:val="20"/>
                <w:szCs w:val="20"/>
                <w:lang w:eastAsia="pt-BR"/>
              </w:rPr>
            </w:pPr>
          </w:p>
        </w:tc>
        <w:tc>
          <w:tcPr>
            <w:tcW w:w="1748"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Absoluto</w:t>
            </w:r>
          </w:p>
        </w:tc>
        <w:tc>
          <w:tcPr>
            <w:tcW w:w="981" w:type="dxa"/>
            <w:gridSpan w:val="2"/>
            <w:noWrap/>
            <w:vAlign w:val="bottom"/>
          </w:tcPr>
          <w:p w:rsidR="00095653" w:rsidRPr="00742642" w:rsidRDefault="00095653" w:rsidP="00742642">
            <w:pPr>
              <w:rPr>
                <w:color w:val="000000"/>
                <w:sz w:val="20"/>
                <w:szCs w:val="20"/>
                <w:lang w:eastAsia="pt-BR"/>
              </w:rPr>
            </w:pPr>
          </w:p>
        </w:tc>
        <w:tc>
          <w:tcPr>
            <w:tcW w:w="959" w:type="dxa"/>
            <w:gridSpan w:val="2"/>
            <w:noWrap/>
            <w:vAlign w:val="bottom"/>
          </w:tcPr>
          <w:p w:rsidR="00095653" w:rsidRPr="00742642" w:rsidRDefault="00095653" w:rsidP="00742642">
            <w:pPr>
              <w:rPr>
                <w:color w:val="000000"/>
                <w:sz w:val="20"/>
                <w:szCs w:val="20"/>
                <w:lang w:eastAsia="pt-BR"/>
              </w:rPr>
            </w:pPr>
          </w:p>
        </w:tc>
      </w:tr>
      <w:tr w:rsidR="00095653" w:rsidRPr="00742642" w:rsidTr="00402299">
        <w:trPr>
          <w:trHeight w:val="210"/>
          <w:jc w:val="center"/>
        </w:trPr>
        <w:tc>
          <w:tcPr>
            <w:tcW w:w="2090"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(CNAE)</w:t>
            </w:r>
          </w:p>
        </w:tc>
        <w:tc>
          <w:tcPr>
            <w:tcW w:w="1046" w:type="dxa"/>
            <w:noWrap/>
            <w:vAlign w:val="bottom"/>
          </w:tcPr>
          <w:p w:rsidR="00095653" w:rsidRPr="00742642" w:rsidRDefault="00095653" w:rsidP="00742642">
            <w:pPr>
              <w:rPr>
                <w:color w:val="000000"/>
                <w:sz w:val="20"/>
                <w:szCs w:val="20"/>
                <w:lang w:eastAsia="pt-BR"/>
              </w:rPr>
            </w:pPr>
          </w:p>
        </w:tc>
        <w:tc>
          <w:tcPr>
            <w:tcW w:w="1044" w:type="dxa"/>
            <w:noWrap/>
            <w:vAlign w:val="bottom"/>
          </w:tcPr>
          <w:p w:rsidR="00095653" w:rsidRPr="00742642" w:rsidRDefault="00095653" w:rsidP="00742642">
            <w:pPr>
              <w:rPr>
                <w:color w:val="000000"/>
                <w:sz w:val="20"/>
                <w:szCs w:val="20"/>
                <w:lang w:eastAsia="pt-BR"/>
              </w:rPr>
            </w:pPr>
          </w:p>
        </w:tc>
        <w:tc>
          <w:tcPr>
            <w:tcW w:w="1637"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Feminino</w:t>
            </w:r>
          </w:p>
        </w:tc>
        <w:tc>
          <w:tcPr>
            <w:tcW w:w="895" w:type="dxa"/>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xml:space="preserve"> </w:t>
            </w:r>
          </w:p>
        </w:tc>
        <w:tc>
          <w:tcPr>
            <w:tcW w:w="1940" w:type="dxa"/>
            <w:gridSpan w:val="4"/>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Masculino</w:t>
            </w:r>
          </w:p>
        </w:tc>
      </w:tr>
      <w:tr w:rsidR="00095653" w:rsidRPr="00742642" w:rsidTr="00402299">
        <w:trPr>
          <w:trHeight w:val="210"/>
          <w:jc w:val="center"/>
        </w:trPr>
        <w:tc>
          <w:tcPr>
            <w:tcW w:w="1044" w:type="dxa"/>
            <w:tcBorders>
              <w:top w:val="nil"/>
              <w:left w:val="nil"/>
              <w:bottom w:val="thinThickSmallGap" w:sz="2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 </w:t>
            </w:r>
          </w:p>
        </w:tc>
        <w:tc>
          <w:tcPr>
            <w:tcW w:w="1046" w:type="dxa"/>
            <w:tcBorders>
              <w:top w:val="nil"/>
              <w:left w:val="nil"/>
              <w:bottom w:val="thinThickSmallGap" w:sz="2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46" w:type="dxa"/>
            <w:tcBorders>
              <w:top w:val="nil"/>
              <w:left w:val="nil"/>
              <w:bottom w:val="thinThickSmallGap" w:sz="2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44" w:type="dxa"/>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1995</w:t>
            </w:r>
          </w:p>
        </w:tc>
        <w:tc>
          <w:tcPr>
            <w:tcW w:w="784" w:type="dxa"/>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2000</w:t>
            </w:r>
          </w:p>
        </w:tc>
        <w:tc>
          <w:tcPr>
            <w:tcW w:w="853" w:type="dxa"/>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2008</w:t>
            </w:r>
          </w:p>
        </w:tc>
        <w:tc>
          <w:tcPr>
            <w:tcW w:w="895" w:type="dxa"/>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1995</w:t>
            </w:r>
          </w:p>
        </w:tc>
        <w:tc>
          <w:tcPr>
            <w:tcW w:w="981" w:type="dxa"/>
            <w:gridSpan w:val="2"/>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2000</w:t>
            </w:r>
          </w:p>
        </w:tc>
        <w:tc>
          <w:tcPr>
            <w:tcW w:w="959" w:type="dxa"/>
            <w:gridSpan w:val="2"/>
            <w:tcBorders>
              <w:top w:val="nil"/>
              <w:left w:val="nil"/>
              <w:bottom w:val="thinThickSmallGap" w:sz="24" w:space="0" w:color="auto"/>
              <w:right w:val="nil"/>
            </w:tcBorders>
            <w:noWrap/>
            <w:vAlign w:val="center"/>
          </w:tcPr>
          <w:p w:rsidR="00095653" w:rsidRPr="00742642" w:rsidRDefault="00095653" w:rsidP="00742642">
            <w:pPr>
              <w:jc w:val="center"/>
              <w:rPr>
                <w:bCs/>
                <w:color w:val="000000"/>
                <w:sz w:val="20"/>
                <w:szCs w:val="20"/>
                <w:lang w:eastAsia="pt-BR"/>
              </w:rPr>
            </w:pPr>
            <w:r w:rsidRPr="00742642">
              <w:rPr>
                <w:bCs/>
                <w:color w:val="000000"/>
                <w:sz w:val="20"/>
                <w:szCs w:val="20"/>
                <w:lang w:eastAsia="pt-BR"/>
              </w:rPr>
              <w:t>2008</w:t>
            </w:r>
          </w:p>
        </w:tc>
      </w:tr>
      <w:tr w:rsidR="00095653" w:rsidRPr="00742642" w:rsidTr="00402299">
        <w:trPr>
          <w:gridAfter w:val="1"/>
          <w:wAfter w:w="140" w:type="dxa"/>
          <w:trHeight w:val="210"/>
          <w:jc w:val="center"/>
        </w:trPr>
        <w:tc>
          <w:tcPr>
            <w:tcW w:w="3136" w:type="dxa"/>
            <w:gridSpan w:val="3"/>
            <w:tcBorders>
              <w:top w:val="thinThickSmallGap" w:sz="24" w:space="0" w:color="auto"/>
              <w:left w:val="nil"/>
              <w:bottom w:val="nil"/>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Confecção (divisão 18)</w:t>
            </w:r>
          </w:p>
        </w:tc>
        <w:tc>
          <w:tcPr>
            <w:tcW w:w="1044" w:type="dxa"/>
            <w:tcBorders>
              <w:top w:val="thinThickSmall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47,00</w:t>
            </w:r>
          </w:p>
        </w:tc>
        <w:tc>
          <w:tcPr>
            <w:tcW w:w="784" w:type="dxa"/>
            <w:tcBorders>
              <w:top w:val="thinThickSmall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36,61</w:t>
            </w:r>
          </w:p>
        </w:tc>
        <w:tc>
          <w:tcPr>
            <w:tcW w:w="853" w:type="dxa"/>
            <w:tcBorders>
              <w:top w:val="thinThickSmallGap" w:sz="24" w:space="0" w:color="auto"/>
              <w:left w:val="nil"/>
              <w:bottom w:val="nil"/>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37,15</w:t>
            </w:r>
          </w:p>
        </w:tc>
        <w:tc>
          <w:tcPr>
            <w:tcW w:w="895" w:type="dxa"/>
            <w:tcBorders>
              <w:top w:val="thinThickSmall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36,00</w:t>
            </w:r>
          </w:p>
        </w:tc>
        <w:tc>
          <w:tcPr>
            <w:tcW w:w="873" w:type="dxa"/>
            <w:tcBorders>
              <w:top w:val="thinThickSmallGap" w:sz="24" w:space="0" w:color="auto"/>
              <w:left w:val="nil"/>
              <w:bottom w:val="nil"/>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28,23</w:t>
            </w:r>
          </w:p>
        </w:tc>
        <w:tc>
          <w:tcPr>
            <w:tcW w:w="927" w:type="dxa"/>
            <w:gridSpan w:val="2"/>
            <w:tcBorders>
              <w:top w:val="thinThickSmallGap" w:sz="24" w:space="0" w:color="auto"/>
              <w:left w:val="nil"/>
              <w:bottom w:val="nil"/>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27,78</w:t>
            </w:r>
          </w:p>
        </w:tc>
      </w:tr>
      <w:tr w:rsidR="00095653" w:rsidRPr="00742642" w:rsidTr="00402299">
        <w:trPr>
          <w:gridAfter w:val="1"/>
          <w:wAfter w:w="140" w:type="dxa"/>
          <w:trHeight w:val="210"/>
          <w:jc w:val="center"/>
        </w:trPr>
        <w:tc>
          <w:tcPr>
            <w:tcW w:w="313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Alimentícios (divisão 15)</w:t>
            </w:r>
          </w:p>
        </w:tc>
        <w:tc>
          <w:tcPr>
            <w:tcW w:w="104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45,00</w:t>
            </w:r>
          </w:p>
        </w:tc>
        <w:tc>
          <w:tcPr>
            <w:tcW w:w="78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44,48</w:t>
            </w:r>
          </w:p>
        </w:tc>
        <w:tc>
          <w:tcPr>
            <w:tcW w:w="853" w:type="dxa"/>
            <w:noWrap/>
            <w:vAlign w:val="bottom"/>
          </w:tcPr>
          <w:p w:rsidR="00095653" w:rsidRPr="00742642" w:rsidRDefault="00095653" w:rsidP="00742642">
            <w:pPr>
              <w:jc w:val="right"/>
              <w:rPr>
                <w:sz w:val="20"/>
                <w:szCs w:val="20"/>
                <w:lang w:eastAsia="pt-BR"/>
              </w:rPr>
            </w:pPr>
            <w:r w:rsidRPr="00742642">
              <w:rPr>
                <w:sz w:val="20"/>
                <w:szCs w:val="20"/>
                <w:lang w:eastAsia="pt-BR"/>
              </w:rPr>
              <w:t>49,26</w:t>
            </w:r>
          </w:p>
        </w:tc>
        <w:tc>
          <w:tcPr>
            <w:tcW w:w="895"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42,00</w:t>
            </w:r>
          </w:p>
        </w:tc>
        <w:tc>
          <w:tcPr>
            <w:tcW w:w="873"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48,16</w:t>
            </w:r>
          </w:p>
        </w:tc>
        <w:tc>
          <w:tcPr>
            <w:tcW w:w="927" w:type="dxa"/>
            <w:gridSpan w:val="2"/>
            <w:noWrap/>
            <w:vAlign w:val="bottom"/>
          </w:tcPr>
          <w:p w:rsidR="00095653" w:rsidRPr="00742642" w:rsidRDefault="00095653" w:rsidP="00742642">
            <w:pPr>
              <w:jc w:val="right"/>
              <w:rPr>
                <w:sz w:val="20"/>
                <w:szCs w:val="20"/>
                <w:lang w:eastAsia="pt-BR"/>
              </w:rPr>
            </w:pPr>
            <w:r w:rsidRPr="00742642">
              <w:rPr>
                <w:sz w:val="20"/>
                <w:szCs w:val="20"/>
                <w:lang w:eastAsia="pt-BR"/>
              </w:rPr>
              <w:t>37,81</w:t>
            </w:r>
          </w:p>
        </w:tc>
      </w:tr>
      <w:tr w:rsidR="00095653" w:rsidRPr="00742642" w:rsidTr="00402299">
        <w:trPr>
          <w:gridAfter w:val="1"/>
          <w:wAfter w:w="140" w:type="dxa"/>
          <w:trHeight w:val="210"/>
          <w:jc w:val="center"/>
        </w:trPr>
        <w:tc>
          <w:tcPr>
            <w:tcW w:w="313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Moveleira (divisão 36)</w:t>
            </w:r>
          </w:p>
        </w:tc>
        <w:tc>
          <w:tcPr>
            <w:tcW w:w="104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31,00</w:t>
            </w:r>
          </w:p>
        </w:tc>
        <w:tc>
          <w:tcPr>
            <w:tcW w:w="78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37,94</w:t>
            </w:r>
          </w:p>
        </w:tc>
        <w:tc>
          <w:tcPr>
            <w:tcW w:w="853" w:type="dxa"/>
            <w:noWrap/>
            <w:vAlign w:val="bottom"/>
          </w:tcPr>
          <w:p w:rsidR="00095653" w:rsidRPr="00742642" w:rsidRDefault="00095653" w:rsidP="00742642">
            <w:pPr>
              <w:jc w:val="right"/>
              <w:rPr>
                <w:sz w:val="20"/>
                <w:szCs w:val="20"/>
                <w:lang w:eastAsia="pt-BR"/>
              </w:rPr>
            </w:pPr>
            <w:r w:rsidRPr="00742642">
              <w:rPr>
                <w:sz w:val="20"/>
                <w:szCs w:val="20"/>
                <w:lang w:eastAsia="pt-BR"/>
              </w:rPr>
              <w:t>36,36</w:t>
            </w:r>
          </w:p>
        </w:tc>
        <w:tc>
          <w:tcPr>
            <w:tcW w:w="895"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28,00</w:t>
            </w:r>
          </w:p>
        </w:tc>
        <w:tc>
          <w:tcPr>
            <w:tcW w:w="873"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26,33</w:t>
            </w:r>
          </w:p>
        </w:tc>
        <w:tc>
          <w:tcPr>
            <w:tcW w:w="927" w:type="dxa"/>
            <w:gridSpan w:val="2"/>
            <w:noWrap/>
            <w:vAlign w:val="bottom"/>
          </w:tcPr>
          <w:p w:rsidR="00095653" w:rsidRPr="00742642" w:rsidRDefault="00095653" w:rsidP="00742642">
            <w:pPr>
              <w:jc w:val="right"/>
              <w:rPr>
                <w:sz w:val="20"/>
                <w:szCs w:val="20"/>
                <w:lang w:eastAsia="pt-BR"/>
              </w:rPr>
            </w:pPr>
            <w:r w:rsidRPr="00742642">
              <w:rPr>
                <w:sz w:val="20"/>
                <w:szCs w:val="20"/>
                <w:lang w:eastAsia="pt-BR"/>
              </w:rPr>
              <w:t>34,23</w:t>
            </w:r>
          </w:p>
        </w:tc>
      </w:tr>
      <w:tr w:rsidR="00095653" w:rsidRPr="00742642" w:rsidTr="00402299">
        <w:trPr>
          <w:gridAfter w:val="1"/>
          <w:wAfter w:w="140" w:type="dxa"/>
          <w:trHeight w:val="210"/>
          <w:jc w:val="center"/>
        </w:trPr>
        <w:tc>
          <w:tcPr>
            <w:tcW w:w="2090" w:type="dxa"/>
            <w:gridSpan w:val="2"/>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Têxtil (divisão 17)</w:t>
            </w:r>
          </w:p>
        </w:tc>
        <w:tc>
          <w:tcPr>
            <w:tcW w:w="1046" w:type="dxa"/>
            <w:noWrap/>
            <w:vAlign w:val="bottom"/>
          </w:tcPr>
          <w:p w:rsidR="00095653" w:rsidRPr="00742642" w:rsidRDefault="00095653" w:rsidP="00742642">
            <w:pPr>
              <w:rPr>
                <w:color w:val="000000"/>
                <w:sz w:val="20"/>
                <w:szCs w:val="20"/>
                <w:lang w:eastAsia="pt-BR"/>
              </w:rPr>
            </w:pPr>
          </w:p>
        </w:tc>
        <w:tc>
          <w:tcPr>
            <w:tcW w:w="104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47,00</w:t>
            </w:r>
          </w:p>
        </w:tc>
        <w:tc>
          <w:tcPr>
            <w:tcW w:w="78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41,95</w:t>
            </w:r>
          </w:p>
        </w:tc>
        <w:tc>
          <w:tcPr>
            <w:tcW w:w="853" w:type="dxa"/>
            <w:noWrap/>
            <w:vAlign w:val="bottom"/>
          </w:tcPr>
          <w:p w:rsidR="00095653" w:rsidRPr="00742642" w:rsidRDefault="00095653" w:rsidP="00742642">
            <w:pPr>
              <w:jc w:val="right"/>
              <w:rPr>
                <w:sz w:val="20"/>
                <w:szCs w:val="20"/>
                <w:lang w:eastAsia="pt-BR"/>
              </w:rPr>
            </w:pPr>
            <w:r w:rsidRPr="00742642">
              <w:rPr>
                <w:sz w:val="20"/>
                <w:szCs w:val="20"/>
                <w:lang w:eastAsia="pt-BR"/>
              </w:rPr>
              <w:t>54,44</w:t>
            </w:r>
          </w:p>
        </w:tc>
        <w:tc>
          <w:tcPr>
            <w:tcW w:w="895"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39,00</w:t>
            </w:r>
          </w:p>
        </w:tc>
        <w:tc>
          <w:tcPr>
            <w:tcW w:w="873"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40,15</w:t>
            </w:r>
          </w:p>
        </w:tc>
        <w:tc>
          <w:tcPr>
            <w:tcW w:w="927" w:type="dxa"/>
            <w:gridSpan w:val="2"/>
            <w:noWrap/>
            <w:vAlign w:val="bottom"/>
          </w:tcPr>
          <w:p w:rsidR="00095653" w:rsidRPr="00742642" w:rsidRDefault="00095653" w:rsidP="00742642">
            <w:pPr>
              <w:jc w:val="right"/>
              <w:rPr>
                <w:sz w:val="20"/>
                <w:szCs w:val="20"/>
                <w:lang w:eastAsia="pt-BR"/>
              </w:rPr>
            </w:pPr>
            <w:r w:rsidRPr="00742642">
              <w:rPr>
                <w:sz w:val="20"/>
                <w:szCs w:val="20"/>
                <w:lang w:eastAsia="pt-BR"/>
              </w:rPr>
              <w:t>40,97</w:t>
            </w:r>
          </w:p>
        </w:tc>
      </w:tr>
      <w:tr w:rsidR="00095653" w:rsidRPr="00742642" w:rsidTr="00402299">
        <w:trPr>
          <w:gridAfter w:val="1"/>
          <w:wAfter w:w="140" w:type="dxa"/>
          <w:trHeight w:val="210"/>
          <w:jc w:val="center"/>
        </w:trPr>
        <w:tc>
          <w:tcPr>
            <w:tcW w:w="3136" w:type="dxa"/>
            <w:gridSpan w:val="3"/>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Minerais não metálicos</w:t>
            </w:r>
          </w:p>
        </w:tc>
        <w:tc>
          <w:tcPr>
            <w:tcW w:w="104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51,00</w:t>
            </w:r>
          </w:p>
        </w:tc>
        <w:tc>
          <w:tcPr>
            <w:tcW w:w="784"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62,32</w:t>
            </w:r>
          </w:p>
        </w:tc>
        <w:tc>
          <w:tcPr>
            <w:tcW w:w="853" w:type="dxa"/>
            <w:noWrap/>
            <w:vAlign w:val="bottom"/>
          </w:tcPr>
          <w:p w:rsidR="00095653" w:rsidRPr="00742642" w:rsidRDefault="00095653" w:rsidP="00742642">
            <w:pPr>
              <w:jc w:val="right"/>
              <w:rPr>
                <w:sz w:val="20"/>
                <w:szCs w:val="20"/>
                <w:lang w:eastAsia="pt-BR"/>
              </w:rPr>
            </w:pPr>
            <w:r w:rsidRPr="00742642">
              <w:rPr>
                <w:sz w:val="20"/>
                <w:szCs w:val="20"/>
                <w:lang w:eastAsia="pt-BR"/>
              </w:rPr>
              <w:t>63,57</w:t>
            </w:r>
          </w:p>
        </w:tc>
        <w:tc>
          <w:tcPr>
            <w:tcW w:w="895"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37,00</w:t>
            </w:r>
          </w:p>
        </w:tc>
        <w:tc>
          <w:tcPr>
            <w:tcW w:w="873" w:type="dxa"/>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46,11</w:t>
            </w:r>
          </w:p>
        </w:tc>
        <w:tc>
          <w:tcPr>
            <w:tcW w:w="927" w:type="dxa"/>
            <w:gridSpan w:val="2"/>
            <w:noWrap/>
            <w:vAlign w:val="bottom"/>
          </w:tcPr>
          <w:p w:rsidR="00095653" w:rsidRPr="00742642" w:rsidRDefault="00095653" w:rsidP="00742642">
            <w:pPr>
              <w:jc w:val="right"/>
              <w:rPr>
                <w:sz w:val="20"/>
                <w:szCs w:val="20"/>
                <w:lang w:eastAsia="pt-BR"/>
              </w:rPr>
            </w:pPr>
            <w:r w:rsidRPr="00742642">
              <w:rPr>
                <w:sz w:val="20"/>
                <w:szCs w:val="20"/>
                <w:lang w:eastAsia="pt-BR"/>
              </w:rPr>
              <w:t>50,39</w:t>
            </w:r>
          </w:p>
        </w:tc>
      </w:tr>
      <w:tr w:rsidR="00095653" w:rsidRPr="00742642" w:rsidTr="00402299">
        <w:trPr>
          <w:gridAfter w:val="1"/>
          <w:wAfter w:w="140" w:type="dxa"/>
          <w:trHeight w:val="210"/>
          <w:jc w:val="center"/>
        </w:trPr>
        <w:tc>
          <w:tcPr>
            <w:tcW w:w="2090" w:type="dxa"/>
            <w:gridSpan w:val="2"/>
            <w:tcBorders>
              <w:top w:val="nil"/>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(divisão 26)</w:t>
            </w:r>
          </w:p>
        </w:tc>
        <w:tc>
          <w:tcPr>
            <w:tcW w:w="1046"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44"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784"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853" w:type="dxa"/>
            <w:tcBorders>
              <w:top w:val="nil"/>
              <w:left w:val="nil"/>
              <w:bottom w:val="single" w:sz="4" w:space="0" w:color="auto"/>
              <w:right w:val="nil"/>
            </w:tcBorders>
            <w:noWrap/>
            <w:vAlign w:val="bottom"/>
          </w:tcPr>
          <w:p w:rsidR="00095653" w:rsidRPr="00742642" w:rsidRDefault="00095653" w:rsidP="00742642">
            <w:pPr>
              <w:rPr>
                <w:sz w:val="20"/>
                <w:szCs w:val="20"/>
                <w:lang w:eastAsia="pt-BR"/>
              </w:rPr>
            </w:pPr>
          </w:p>
        </w:tc>
        <w:tc>
          <w:tcPr>
            <w:tcW w:w="895"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xml:space="preserve"> </w:t>
            </w:r>
          </w:p>
        </w:tc>
        <w:tc>
          <w:tcPr>
            <w:tcW w:w="873"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927" w:type="dxa"/>
            <w:gridSpan w:val="2"/>
            <w:tcBorders>
              <w:top w:val="nil"/>
              <w:left w:val="nil"/>
              <w:bottom w:val="single" w:sz="4" w:space="0" w:color="auto"/>
              <w:right w:val="nil"/>
            </w:tcBorders>
            <w:noWrap/>
            <w:vAlign w:val="bottom"/>
          </w:tcPr>
          <w:p w:rsidR="00095653" w:rsidRPr="00742642" w:rsidRDefault="00095653" w:rsidP="00742642">
            <w:pPr>
              <w:rPr>
                <w:sz w:val="20"/>
                <w:szCs w:val="20"/>
                <w:lang w:eastAsia="pt-BR"/>
              </w:rPr>
            </w:pPr>
            <w:r w:rsidRPr="00742642">
              <w:rPr>
                <w:sz w:val="20"/>
                <w:szCs w:val="20"/>
                <w:lang w:eastAsia="pt-BR"/>
              </w:rPr>
              <w:t> </w:t>
            </w:r>
          </w:p>
        </w:tc>
      </w:tr>
      <w:tr w:rsidR="00095653" w:rsidRPr="00742642" w:rsidTr="00402299">
        <w:trPr>
          <w:trHeight w:val="210"/>
          <w:jc w:val="center"/>
        </w:trPr>
        <w:tc>
          <w:tcPr>
            <w:tcW w:w="2090" w:type="dxa"/>
            <w:gridSpan w:val="2"/>
            <w:tcBorders>
              <w:top w:val="single" w:sz="4" w:space="0" w:color="auto"/>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Demais divisões</w:t>
            </w:r>
          </w:p>
        </w:tc>
        <w:tc>
          <w:tcPr>
            <w:tcW w:w="1046"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44"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38,11</w:t>
            </w:r>
          </w:p>
        </w:tc>
        <w:tc>
          <w:tcPr>
            <w:tcW w:w="784"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40,54</w:t>
            </w:r>
          </w:p>
        </w:tc>
        <w:tc>
          <w:tcPr>
            <w:tcW w:w="853" w:type="dxa"/>
            <w:tcBorders>
              <w:top w:val="single" w:sz="4" w:space="0" w:color="auto"/>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50,43</w:t>
            </w:r>
          </w:p>
        </w:tc>
        <w:tc>
          <w:tcPr>
            <w:tcW w:w="895" w:type="dxa"/>
            <w:tcBorders>
              <w:top w:val="single" w:sz="4" w:space="0" w:color="auto"/>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46,82</w:t>
            </w:r>
          </w:p>
        </w:tc>
        <w:tc>
          <w:tcPr>
            <w:tcW w:w="873" w:type="dxa"/>
            <w:tcBorders>
              <w:top w:val="single" w:sz="4" w:space="0" w:color="auto"/>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60,65</w:t>
            </w:r>
          </w:p>
        </w:tc>
        <w:tc>
          <w:tcPr>
            <w:tcW w:w="1067" w:type="dxa"/>
            <w:gridSpan w:val="3"/>
            <w:tcBorders>
              <w:top w:val="single" w:sz="4" w:space="0" w:color="auto"/>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 xml:space="preserve">   63,47</w:t>
            </w:r>
          </w:p>
        </w:tc>
      </w:tr>
      <w:tr w:rsidR="00095653" w:rsidRPr="00742642" w:rsidTr="00402299">
        <w:trPr>
          <w:trHeight w:val="210"/>
          <w:jc w:val="center"/>
        </w:trPr>
        <w:tc>
          <w:tcPr>
            <w:tcW w:w="2090" w:type="dxa"/>
            <w:gridSpan w:val="2"/>
            <w:tcBorders>
              <w:top w:val="single" w:sz="4" w:space="0" w:color="auto"/>
              <w:left w:val="nil"/>
              <w:bottom w:val="single" w:sz="4" w:space="0" w:color="auto"/>
              <w:right w:val="nil"/>
            </w:tcBorders>
            <w:noWrap/>
            <w:vAlign w:val="bottom"/>
          </w:tcPr>
          <w:p w:rsidR="00095653" w:rsidRPr="00742642" w:rsidRDefault="00095653" w:rsidP="00742642">
            <w:pPr>
              <w:rPr>
                <w:bCs/>
                <w:color w:val="000000"/>
                <w:sz w:val="20"/>
                <w:szCs w:val="20"/>
                <w:lang w:eastAsia="pt-BR"/>
              </w:rPr>
            </w:pPr>
            <w:r w:rsidRPr="00742642">
              <w:rPr>
                <w:bCs/>
                <w:color w:val="000000"/>
                <w:sz w:val="20"/>
                <w:szCs w:val="20"/>
                <w:lang w:eastAsia="pt-BR"/>
              </w:rPr>
              <w:t>Média Total</w:t>
            </w:r>
          </w:p>
        </w:tc>
        <w:tc>
          <w:tcPr>
            <w:tcW w:w="1046" w:type="dxa"/>
            <w:tcBorders>
              <w:top w:val="nil"/>
              <w:left w:val="nil"/>
              <w:bottom w:val="single" w:sz="4" w:space="0" w:color="auto"/>
              <w:right w:val="nil"/>
            </w:tcBorders>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 </w:t>
            </w:r>
          </w:p>
        </w:tc>
        <w:tc>
          <w:tcPr>
            <w:tcW w:w="1044"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39,50</w:t>
            </w:r>
          </w:p>
        </w:tc>
        <w:tc>
          <w:tcPr>
            <w:tcW w:w="784" w:type="dxa"/>
            <w:tcBorders>
              <w:top w:val="nil"/>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41,48</w:t>
            </w:r>
          </w:p>
        </w:tc>
        <w:tc>
          <w:tcPr>
            <w:tcW w:w="853" w:type="dxa"/>
            <w:tcBorders>
              <w:top w:val="nil"/>
              <w:left w:val="nil"/>
              <w:bottom w:val="single" w:sz="4" w:space="0" w:color="auto"/>
              <w:right w:val="nil"/>
            </w:tcBorders>
            <w:noWrap/>
            <w:vAlign w:val="bottom"/>
          </w:tcPr>
          <w:p w:rsidR="00095653" w:rsidRPr="00742642" w:rsidRDefault="00095653" w:rsidP="00742642">
            <w:pPr>
              <w:jc w:val="right"/>
              <w:rPr>
                <w:sz w:val="20"/>
                <w:szCs w:val="20"/>
                <w:lang w:eastAsia="pt-BR"/>
              </w:rPr>
            </w:pPr>
            <w:r w:rsidRPr="00742642">
              <w:rPr>
                <w:sz w:val="20"/>
                <w:szCs w:val="20"/>
                <w:lang w:eastAsia="pt-BR"/>
              </w:rPr>
              <w:t>49,88</w:t>
            </w:r>
          </w:p>
        </w:tc>
        <w:tc>
          <w:tcPr>
            <w:tcW w:w="895" w:type="dxa"/>
            <w:tcBorders>
              <w:top w:val="single" w:sz="4" w:space="0" w:color="auto"/>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44,45</w:t>
            </w:r>
          </w:p>
        </w:tc>
        <w:tc>
          <w:tcPr>
            <w:tcW w:w="873" w:type="dxa"/>
            <w:tcBorders>
              <w:top w:val="single" w:sz="4" w:space="0" w:color="auto"/>
              <w:left w:val="nil"/>
              <w:bottom w:val="single" w:sz="4" w:space="0" w:color="auto"/>
              <w:right w:val="nil"/>
            </w:tcBorders>
            <w:noWrap/>
            <w:vAlign w:val="bottom"/>
          </w:tcPr>
          <w:p w:rsidR="00095653" w:rsidRPr="00742642" w:rsidRDefault="00095653" w:rsidP="00742642">
            <w:pPr>
              <w:jc w:val="right"/>
              <w:rPr>
                <w:color w:val="000000"/>
                <w:sz w:val="20"/>
                <w:szCs w:val="20"/>
                <w:lang w:eastAsia="pt-BR"/>
              </w:rPr>
            </w:pPr>
            <w:r w:rsidRPr="00742642">
              <w:rPr>
                <w:color w:val="000000"/>
                <w:sz w:val="20"/>
                <w:szCs w:val="20"/>
                <w:lang w:eastAsia="pt-BR"/>
              </w:rPr>
              <w:t>55,46</w:t>
            </w:r>
          </w:p>
        </w:tc>
        <w:tc>
          <w:tcPr>
            <w:tcW w:w="1067" w:type="dxa"/>
            <w:gridSpan w:val="3"/>
            <w:tcBorders>
              <w:top w:val="single" w:sz="4" w:space="0" w:color="auto"/>
              <w:left w:val="nil"/>
              <w:bottom w:val="single" w:sz="4" w:space="0" w:color="auto"/>
              <w:right w:val="nil"/>
            </w:tcBorders>
            <w:noWrap/>
            <w:vAlign w:val="bottom"/>
          </w:tcPr>
          <w:p w:rsidR="00095653" w:rsidRPr="00742642" w:rsidRDefault="00095653" w:rsidP="00742642">
            <w:pPr>
              <w:jc w:val="center"/>
              <w:rPr>
                <w:sz w:val="20"/>
                <w:szCs w:val="20"/>
                <w:lang w:eastAsia="pt-BR"/>
              </w:rPr>
            </w:pPr>
            <w:r w:rsidRPr="00742642">
              <w:rPr>
                <w:sz w:val="20"/>
                <w:szCs w:val="20"/>
                <w:lang w:eastAsia="pt-BR"/>
              </w:rPr>
              <w:t xml:space="preserve">   57,43</w:t>
            </w:r>
          </w:p>
        </w:tc>
      </w:tr>
      <w:tr w:rsidR="00095653" w:rsidRPr="00742642" w:rsidTr="00402299">
        <w:trPr>
          <w:trHeight w:val="210"/>
          <w:jc w:val="center"/>
        </w:trPr>
        <w:tc>
          <w:tcPr>
            <w:tcW w:w="6712" w:type="dxa"/>
            <w:gridSpan w:val="7"/>
            <w:noWrap/>
            <w:vAlign w:val="bottom"/>
          </w:tcPr>
          <w:p w:rsidR="00095653" w:rsidRPr="00742642" w:rsidRDefault="00095653" w:rsidP="00742642">
            <w:pPr>
              <w:rPr>
                <w:color w:val="000000"/>
                <w:sz w:val="20"/>
                <w:szCs w:val="20"/>
                <w:lang w:eastAsia="pt-BR"/>
              </w:rPr>
            </w:pPr>
            <w:r w:rsidRPr="00742642">
              <w:rPr>
                <w:color w:val="000000"/>
                <w:sz w:val="20"/>
                <w:szCs w:val="20"/>
                <w:lang w:eastAsia="pt-BR"/>
              </w:rPr>
              <w:t>Fonte: Elaboração própria a partir Base de Dados RAISMIGRA 1995-2008</w:t>
            </w:r>
          </w:p>
        </w:tc>
        <w:tc>
          <w:tcPr>
            <w:tcW w:w="981" w:type="dxa"/>
            <w:gridSpan w:val="2"/>
            <w:noWrap/>
            <w:vAlign w:val="bottom"/>
          </w:tcPr>
          <w:p w:rsidR="00095653" w:rsidRPr="00742642" w:rsidRDefault="00095653" w:rsidP="00742642">
            <w:pPr>
              <w:rPr>
                <w:color w:val="000000"/>
                <w:sz w:val="20"/>
                <w:szCs w:val="20"/>
                <w:lang w:eastAsia="pt-BR"/>
              </w:rPr>
            </w:pPr>
          </w:p>
        </w:tc>
        <w:tc>
          <w:tcPr>
            <w:tcW w:w="959" w:type="dxa"/>
            <w:gridSpan w:val="2"/>
            <w:noWrap/>
            <w:vAlign w:val="bottom"/>
          </w:tcPr>
          <w:p w:rsidR="00095653" w:rsidRPr="00742642" w:rsidRDefault="00095653" w:rsidP="00742642">
            <w:pPr>
              <w:rPr>
                <w:color w:val="000000"/>
                <w:sz w:val="20"/>
                <w:szCs w:val="20"/>
                <w:lang w:eastAsia="pt-BR"/>
              </w:rPr>
            </w:pPr>
          </w:p>
        </w:tc>
      </w:tr>
    </w:tbl>
    <w:p w:rsidR="00095653" w:rsidRPr="00742642" w:rsidRDefault="00095653" w:rsidP="00742642">
      <w:pPr>
        <w:widowControl w:val="0"/>
        <w:overflowPunct w:val="0"/>
        <w:autoSpaceDE w:val="0"/>
        <w:autoSpaceDN w:val="0"/>
        <w:adjustRightInd w:val="0"/>
        <w:jc w:val="both"/>
        <w:rPr>
          <w:kern w:val="28"/>
          <w:lang w:eastAsia="pt-BR"/>
        </w:rPr>
      </w:pPr>
    </w:p>
    <w:p w:rsidR="00095653" w:rsidRPr="00742642" w:rsidRDefault="00095653" w:rsidP="00742642">
      <w:pPr>
        <w:widowControl w:val="0"/>
        <w:overflowPunct w:val="0"/>
        <w:autoSpaceDE w:val="0"/>
        <w:autoSpaceDN w:val="0"/>
        <w:adjustRightInd w:val="0"/>
        <w:ind w:firstLine="708"/>
        <w:jc w:val="both"/>
        <w:rPr>
          <w:kern w:val="28"/>
        </w:rPr>
      </w:pPr>
      <w:r w:rsidRPr="00742642">
        <w:rPr>
          <w:kern w:val="28"/>
        </w:rPr>
        <w:t>Adicionalmente, obtivemos da base RAISMIGRA as informações referentes à quantidade de desligamentos para os anos de 1995, 2000 e 2008. Nas tabelas 8, 9 e 10, o termo “0” representa aqueles trabalhadores que permaneceram no seu emprego, “1” indica os trabalhadores que saíram de seus empregos pelo menos uma vez, “2” engloba aqueles que desvincularam-se duas vez no ano e “3” aquelas pessoas que acumularam três mudanças de emprego no ano, e assim sucessivamente. Em 1995, cerca de 555 mulheres da divisão 18 (Confecções) se desvincularam do emprego apenas uma vez, número superado apenas pela divisão 15 (Alimentícios) com 646 desligamentos, enquanto na divisão 17 (Têxtil) apenas 117 mulheres saíram do emprego. Para o mesmo ano, aproximadamente 219 homens da divisão 18 (confecções) deixaram o emprego pelo menos uma vez, número superado novamente pela divisão 15 (alimentícios), com 1839 desligamentos. Na tabela abaixo (</w:t>
      </w:r>
      <w:r w:rsidRPr="00742642">
        <w:rPr>
          <w:i/>
          <w:kern w:val="28"/>
        </w:rPr>
        <w:t>tabela 7</w:t>
      </w:r>
      <w:r w:rsidRPr="00742642">
        <w:rPr>
          <w:kern w:val="28"/>
        </w:rPr>
        <w:t xml:space="preserve">) podemos ver com clareza a quantidade de saídas para todas as divisões da indústria de transformação, onde poucos trabalhadores empregados, tanto homens como mulheres, se desvincularam duas ou mais vezes em 1995, ou seja, grande maioria </w:t>
      </w:r>
      <w:r w:rsidR="00B83D61" w:rsidRPr="00742642">
        <w:rPr>
          <w:kern w:val="28"/>
        </w:rPr>
        <w:t>prática</w:t>
      </w:r>
      <w:r w:rsidRPr="00742642">
        <w:rPr>
          <w:kern w:val="28"/>
        </w:rPr>
        <w:t xml:space="preserve"> </w:t>
      </w:r>
      <w:proofErr w:type="spellStart"/>
      <w:r w:rsidRPr="00742642">
        <w:rPr>
          <w:i/>
          <w:kern w:val="28"/>
        </w:rPr>
        <w:t>job-change</w:t>
      </w:r>
      <w:proofErr w:type="spellEnd"/>
      <w:r w:rsidRPr="00742642">
        <w:rPr>
          <w:kern w:val="28"/>
        </w:rPr>
        <w:t xml:space="preserve"> apenas uma vez no ano. Nesse caso, grande parte dos trabalhadores desligados é do sexo masculino.</w:t>
      </w:r>
    </w:p>
    <w:p w:rsidR="00B83D61" w:rsidRPr="00742642" w:rsidRDefault="00B83D61" w:rsidP="00742642">
      <w:pPr>
        <w:widowControl w:val="0"/>
        <w:overflowPunct w:val="0"/>
        <w:autoSpaceDE w:val="0"/>
        <w:autoSpaceDN w:val="0"/>
        <w:adjustRightInd w:val="0"/>
        <w:ind w:firstLine="708"/>
        <w:jc w:val="both"/>
        <w:rPr>
          <w:kern w:val="28"/>
        </w:rPr>
      </w:pPr>
    </w:p>
    <w:p w:rsidR="00F46701" w:rsidRPr="00742642" w:rsidRDefault="00F46701" w:rsidP="00F46701">
      <w:pPr>
        <w:widowControl w:val="0"/>
        <w:overflowPunct w:val="0"/>
        <w:autoSpaceDE w:val="0"/>
        <w:autoSpaceDN w:val="0"/>
        <w:adjustRightInd w:val="0"/>
        <w:ind w:firstLine="708"/>
        <w:jc w:val="both"/>
        <w:rPr>
          <w:kern w:val="28"/>
          <w:lang w:eastAsia="pt-BR"/>
        </w:rPr>
      </w:pPr>
      <w:r w:rsidRPr="00742642">
        <w:rPr>
          <w:kern w:val="28"/>
          <w:lang w:eastAsia="pt-BR"/>
        </w:rPr>
        <w:t xml:space="preserve">No ano de 2008, a quantidade mulheres que se desligaram pelo menos uma vez na divisão 18 (confecções) decresceu em relação a 2000, passando a 472 desligamentos. Para a divisão 17 (têxtil) o número de mulheres que saíram do emprego reduziu-se ainda mais, passando a 36 </w:t>
      </w:r>
      <w:proofErr w:type="spellStart"/>
      <w:r w:rsidRPr="00742642">
        <w:rPr>
          <w:kern w:val="28"/>
          <w:lang w:eastAsia="pt-BR"/>
        </w:rPr>
        <w:t>desvinculos</w:t>
      </w:r>
      <w:proofErr w:type="spellEnd"/>
      <w:r w:rsidRPr="00742642">
        <w:rPr>
          <w:kern w:val="28"/>
          <w:lang w:eastAsia="pt-BR"/>
        </w:rPr>
        <w:t xml:space="preserve">. Em relação aos desligamentos de trabalhadores do sexo masculino, tanto na divisão 18 (244 </w:t>
      </w:r>
      <w:proofErr w:type="spellStart"/>
      <w:r w:rsidRPr="00742642">
        <w:rPr>
          <w:kern w:val="28"/>
          <w:lang w:eastAsia="pt-BR"/>
        </w:rPr>
        <w:t>deslig</w:t>
      </w:r>
      <w:proofErr w:type="spellEnd"/>
      <w:r w:rsidRPr="00742642">
        <w:rPr>
          <w:kern w:val="28"/>
          <w:lang w:eastAsia="pt-BR"/>
        </w:rPr>
        <w:t xml:space="preserve">.), como na divisão 17 (89 </w:t>
      </w:r>
      <w:proofErr w:type="spellStart"/>
      <w:r w:rsidRPr="00742642">
        <w:rPr>
          <w:kern w:val="28"/>
          <w:lang w:eastAsia="pt-BR"/>
        </w:rPr>
        <w:t>deslig</w:t>
      </w:r>
      <w:proofErr w:type="spellEnd"/>
      <w:r w:rsidRPr="00742642">
        <w:rPr>
          <w:kern w:val="28"/>
          <w:lang w:eastAsia="pt-BR"/>
        </w:rPr>
        <w:t>.), houve um decréscimo no número de trabalhadores que saíram do emprego em relação ao ano 2000. Na tabela abaixo (</w:t>
      </w:r>
      <w:r w:rsidRPr="00742642">
        <w:rPr>
          <w:i/>
          <w:kern w:val="28"/>
          <w:lang w:eastAsia="pt-BR"/>
        </w:rPr>
        <w:t>tabela 8</w:t>
      </w:r>
      <w:r w:rsidRPr="00742642">
        <w:rPr>
          <w:kern w:val="28"/>
          <w:lang w:eastAsia="pt-BR"/>
        </w:rPr>
        <w:t xml:space="preserve">), podemos observar os desligamentos de homens e mulheres para todas as divisões da indústria de transformação, onde para dois ou mais desligamentos a quantidade para ambos os sexos foi irrelevante. </w:t>
      </w:r>
    </w:p>
    <w:p w:rsidR="00B83D61" w:rsidRPr="00742642" w:rsidRDefault="00B83D61" w:rsidP="00742642">
      <w:pPr>
        <w:widowControl w:val="0"/>
        <w:overflowPunct w:val="0"/>
        <w:autoSpaceDE w:val="0"/>
        <w:autoSpaceDN w:val="0"/>
        <w:adjustRightInd w:val="0"/>
        <w:ind w:firstLine="708"/>
        <w:jc w:val="both"/>
        <w:rPr>
          <w:kern w:val="28"/>
        </w:rPr>
      </w:pPr>
    </w:p>
    <w:p w:rsidR="00B83D61" w:rsidRPr="00742642" w:rsidRDefault="00B83D61" w:rsidP="00742642">
      <w:pPr>
        <w:widowControl w:val="0"/>
        <w:overflowPunct w:val="0"/>
        <w:autoSpaceDE w:val="0"/>
        <w:autoSpaceDN w:val="0"/>
        <w:adjustRightInd w:val="0"/>
        <w:ind w:firstLine="708"/>
        <w:jc w:val="both"/>
        <w:rPr>
          <w:kern w:val="28"/>
        </w:rPr>
      </w:pPr>
    </w:p>
    <w:p w:rsidR="00B83D61" w:rsidRPr="00742642" w:rsidRDefault="00B83D61" w:rsidP="00742642">
      <w:pPr>
        <w:widowControl w:val="0"/>
        <w:overflowPunct w:val="0"/>
        <w:autoSpaceDE w:val="0"/>
        <w:autoSpaceDN w:val="0"/>
        <w:adjustRightInd w:val="0"/>
        <w:ind w:firstLine="708"/>
        <w:jc w:val="both"/>
        <w:rPr>
          <w:kern w:val="28"/>
        </w:rPr>
      </w:pPr>
    </w:p>
    <w:p w:rsidR="00095653" w:rsidRPr="00742642" w:rsidRDefault="00095653" w:rsidP="00742642">
      <w:pPr>
        <w:jc w:val="both"/>
        <w:rPr>
          <w:b/>
          <w:lang w:eastAsia="pt-BR"/>
        </w:rPr>
      </w:pPr>
    </w:p>
    <w:p w:rsidR="00095653" w:rsidRPr="00742642" w:rsidRDefault="00095653" w:rsidP="00742642">
      <w:pPr>
        <w:widowControl w:val="0"/>
        <w:overflowPunct w:val="0"/>
        <w:autoSpaceDE w:val="0"/>
        <w:autoSpaceDN w:val="0"/>
        <w:adjustRightInd w:val="0"/>
        <w:jc w:val="both"/>
        <w:rPr>
          <w:kern w:val="28"/>
          <w:lang w:eastAsia="pt-BR"/>
        </w:rPr>
      </w:pPr>
      <w:r w:rsidRPr="00742642">
        <w:rPr>
          <w:b/>
          <w:kern w:val="28"/>
          <w:lang w:eastAsia="pt-BR"/>
        </w:rPr>
        <w:t>Tabela 7</w:t>
      </w:r>
      <w:r w:rsidRPr="00742642">
        <w:rPr>
          <w:kern w:val="28"/>
          <w:lang w:eastAsia="pt-BR"/>
        </w:rPr>
        <w:t xml:space="preserve">: Quantidade de desligamentos no ano 1995, por gênero e Atividade Econômica (CNAE 95). </w:t>
      </w:r>
    </w:p>
    <w:p w:rsidR="00095653" w:rsidRPr="00742642" w:rsidRDefault="006C0874" w:rsidP="00742642">
      <w:pPr>
        <w:widowControl w:val="0"/>
        <w:overflowPunct w:val="0"/>
        <w:autoSpaceDE w:val="0"/>
        <w:autoSpaceDN w:val="0"/>
        <w:adjustRightInd w:val="0"/>
        <w:ind w:left="-142"/>
        <w:jc w:val="both"/>
        <w:rPr>
          <w:kern w:val="28"/>
          <w:lang w:eastAsia="pt-BR"/>
        </w:rPr>
      </w:pPr>
      <w:r w:rsidRPr="00742642">
        <w:rPr>
          <w:noProof/>
          <w:lang w:eastAsia="pt-BR"/>
        </w:rPr>
        <w:drawing>
          <wp:inline distT="0" distB="0" distL="0" distR="0">
            <wp:extent cx="5591175" cy="18573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1857375"/>
                    </a:xfrm>
                    <a:prstGeom prst="rect">
                      <a:avLst/>
                    </a:prstGeom>
                    <a:noFill/>
                    <a:ln>
                      <a:noFill/>
                    </a:ln>
                  </pic:spPr>
                </pic:pic>
              </a:graphicData>
            </a:graphic>
          </wp:inline>
        </w:drawing>
      </w:r>
    </w:p>
    <w:p w:rsidR="00095653" w:rsidRPr="00742642" w:rsidRDefault="00095653" w:rsidP="00742642">
      <w:pPr>
        <w:widowControl w:val="0"/>
        <w:overflowPunct w:val="0"/>
        <w:autoSpaceDE w:val="0"/>
        <w:autoSpaceDN w:val="0"/>
        <w:adjustRightInd w:val="0"/>
        <w:jc w:val="both"/>
        <w:rPr>
          <w:kern w:val="28"/>
          <w:lang w:eastAsia="pt-BR"/>
        </w:rPr>
      </w:pPr>
    </w:p>
    <w:p w:rsidR="00095653" w:rsidRPr="00742642" w:rsidRDefault="00095653" w:rsidP="00742642">
      <w:pPr>
        <w:widowControl w:val="0"/>
        <w:overflowPunct w:val="0"/>
        <w:autoSpaceDE w:val="0"/>
        <w:autoSpaceDN w:val="0"/>
        <w:adjustRightInd w:val="0"/>
        <w:jc w:val="both"/>
        <w:rPr>
          <w:kern w:val="28"/>
          <w:lang w:eastAsia="pt-BR"/>
        </w:rPr>
      </w:pPr>
    </w:p>
    <w:p w:rsidR="00095653" w:rsidRPr="00742642" w:rsidRDefault="00095653" w:rsidP="00742642">
      <w:pPr>
        <w:widowControl w:val="0"/>
        <w:overflowPunct w:val="0"/>
        <w:autoSpaceDE w:val="0"/>
        <w:autoSpaceDN w:val="0"/>
        <w:adjustRightInd w:val="0"/>
        <w:jc w:val="both"/>
        <w:rPr>
          <w:kern w:val="28"/>
          <w:lang w:eastAsia="pt-BR"/>
        </w:rPr>
      </w:pPr>
      <w:r w:rsidRPr="00742642">
        <w:rPr>
          <w:b/>
          <w:kern w:val="28"/>
          <w:lang w:eastAsia="pt-BR"/>
        </w:rPr>
        <w:t>Tabela 8</w:t>
      </w:r>
      <w:r w:rsidRPr="00742642">
        <w:rPr>
          <w:kern w:val="28"/>
          <w:lang w:eastAsia="pt-BR"/>
        </w:rPr>
        <w:t xml:space="preserve">: Quantidade de desligamentos no ano 2008, por gênero e Atividade Econômica (CNAE 95). </w:t>
      </w:r>
    </w:p>
    <w:p w:rsidR="00095653" w:rsidRPr="00742642" w:rsidRDefault="00095653" w:rsidP="00742642">
      <w:pPr>
        <w:widowControl w:val="0"/>
        <w:overflowPunct w:val="0"/>
        <w:autoSpaceDE w:val="0"/>
        <w:autoSpaceDN w:val="0"/>
        <w:adjustRightInd w:val="0"/>
        <w:jc w:val="both"/>
        <w:rPr>
          <w:kern w:val="28"/>
          <w:lang w:eastAsia="pt-BR"/>
        </w:rPr>
      </w:pPr>
    </w:p>
    <w:p w:rsidR="00095653" w:rsidRPr="00742642" w:rsidRDefault="006C0874" w:rsidP="00742642">
      <w:pPr>
        <w:widowControl w:val="0"/>
        <w:overflowPunct w:val="0"/>
        <w:autoSpaceDE w:val="0"/>
        <w:autoSpaceDN w:val="0"/>
        <w:adjustRightInd w:val="0"/>
        <w:jc w:val="center"/>
        <w:rPr>
          <w:kern w:val="28"/>
          <w:lang w:eastAsia="pt-BR"/>
        </w:rPr>
      </w:pPr>
      <w:r w:rsidRPr="00742642">
        <w:rPr>
          <w:noProof/>
          <w:lang w:eastAsia="pt-BR"/>
        </w:rPr>
        <w:drawing>
          <wp:inline distT="0" distB="0" distL="0" distR="0">
            <wp:extent cx="5324475" cy="1905000"/>
            <wp:effectExtent l="0" t="0" r="9525"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1905000"/>
                    </a:xfrm>
                    <a:prstGeom prst="rect">
                      <a:avLst/>
                    </a:prstGeom>
                    <a:noFill/>
                    <a:ln>
                      <a:noFill/>
                    </a:ln>
                  </pic:spPr>
                </pic:pic>
              </a:graphicData>
            </a:graphic>
          </wp:inline>
        </w:drawing>
      </w:r>
    </w:p>
    <w:p w:rsidR="00095653" w:rsidRPr="00742642" w:rsidRDefault="00095653" w:rsidP="00742642">
      <w:pPr>
        <w:widowControl w:val="0"/>
        <w:autoSpaceDE w:val="0"/>
        <w:autoSpaceDN w:val="0"/>
        <w:adjustRightInd w:val="0"/>
        <w:jc w:val="both"/>
        <w:rPr>
          <w:bCs/>
          <w:lang w:eastAsia="pt-BR"/>
        </w:rPr>
      </w:pPr>
    </w:p>
    <w:p w:rsidR="00095653" w:rsidRPr="00742642" w:rsidRDefault="00095653" w:rsidP="00742642">
      <w:pPr>
        <w:widowControl w:val="0"/>
        <w:autoSpaceDE w:val="0"/>
        <w:autoSpaceDN w:val="0"/>
        <w:adjustRightInd w:val="0"/>
        <w:ind w:firstLine="708"/>
        <w:jc w:val="both"/>
        <w:rPr>
          <w:bCs/>
          <w:lang w:eastAsia="pt-BR"/>
        </w:rPr>
      </w:pPr>
      <w:r w:rsidRPr="00742642">
        <w:rPr>
          <w:bCs/>
          <w:lang w:eastAsia="pt-BR"/>
        </w:rPr>
        <w:t xml:space="preserve">Em resumo, podemos afirmar que para o segmento de confecções e têxtil da mesorregião agreste o tempo médio no emprego para mulheres e homens empregados nesses </w:t>
      </w:r>
      <w:r w:rsidR="00795905" w:rsidRPr="00742642">
        <w:rPr>
          <w:bCs/>
          <w:lang w:eastAsia="pt-BR"/>
        </w:rPr>
        <w:t>setores ficou no intervalo de 30 a 65</w:t>
      </w:r>
      <w:r w:rsidRPr="00742642">
        <w:rPr>
          <w:bCs/>
          <w:lang w:eastAsia="pt-BR"/>
        </w:rPr>
        <w:t xml:space="preserve"> meses, e em relação à quantidade de desligamentos (1 vez no ano) a média estimada foi 211 desligamentos (divisão 17 e 18) enquanto para dois ou mais desligamentos a </w:t>
      </w:r>
      <w:proofErr w:type="spellStart"/>
      <w:r w:rsidRPr="00742642">
        <w:rPr>
          <w:bCs/>
          <w:lang w:eastAsia="pt-BR"/>
        </w:rPr>
        <w:t>media</w:t>
      </w:r>
      <w:proofErr w:type="spellEnd"/>
      <w:r w:rsidRPr="00742642">
        <w:rPr>
          <w:bCs/>
          <w:lang w:eastAsia="pt-BR"/>
        </w:rPr>
        <w:t xml:space="preserve"> foi irrelevante, tendo por base o período mais recente, ou seja, o ano 2008.</w:t>
      </w:r>
    </w:p>
    <w:p w:rsidR="00095653" w:rsidRPr="00742642" w:rsidRDefault="00095653" w:rsidP="00742642">
      <w:pPr>
        <w:widowControl w:val="0"/>
        <w:autoSpaceDE w:val="0"/>
        <w:autoSpaceDN w:val="0"/>
        <w:adjustRightInd w:val="0"/>
        <w:ind w:firstLine="708"/>
        <w:jc w:val="both"/>
        <w:rPr>
          <w:bCs/>
          <w:lang w:eastAsia="pt-BR"/>
        </w:rPr>
      </w:pPr>
    </w:p>
    <w:p w:rsidR="00095653" w:rsidRPr="00742642" w:rsidRDefault="00D205C6" w:rsidP="00742642">
      <w:pPr>
        <w:widowControl w:val="0"/>
        <w:autoSpaceDE w:val="0"/>
        <w:autoSpaceDN w:val="0"/>
        <w:adjustRightInd w:val="0"/>
        <w:jc w:val="both"/>
        <w:rPr>
          <w:b/>
          <w:bCs/>
          <w:caps/>
          <w:lang w:eastAsia="pt-BR"/>
        </w:rPr>
      </w:pPr>
      <w:r w:rsidRPr="00742642">
        <w:rPr>
          <w:b/>
          <w:bCs/>
          <w:caps/>
          <w:lang w:eastAsia="pt-BR"/>
        </w:rPr>
        <w:t>3</w:t>
      </w:r>
      <w:r w:rsidR="00572F5F" w:rsidRPr="00742642">
        <w:rPr>
          <w:b/>
          <w:bCs/>
          <w:caps/>
          <w:lang w:eastAsia="pt-BR"/>
        </w:rPr>
        <w:t xml:space="preserve">.3. </w:t>
      </w:r>
      <w:r w:rsidR="00572F5F" w:rsidRPr="00742642">
        <w:rPr>
          <w:b/>
          <w:bCs/>
          <w:lang w:eastAsia="pt-BR"/>
        </w:rPr>
        <w:t>Matriz de Interação</w:t>
      </w:r>
    </w:p>
    <w:p w:rsidR="00095653" w:rsidRPr="00742642" w:rsidRDefault="00095653" w:rsidP="00742642">
      <w:pPr>
        <w:widowControl w:val="0"/>
        <w:autoSpaceDE w:val="0"/>
        <w:autoSpaceDN w:val="0"/>
        <w:adjustRightInd w:val="0"/>
        <w:jc w:val="both"/>
        <w:rPr>
          <w:bCs/>
          <w:lang w:eastAsia="pt-BR"/>
        </w:rPr>
      </w:pPr>
    </w:p>
    <w:p w:rsidR="00095653" w:rsidRPr="00742642" w:rsidRDefault="00095653" w:rsidP="00742642">
      <w:pPr>
        <w:widowControl w:val="0"/>
        <w:autoSpaceDE w:val="0"/>
        <w:autoSpaceDN w:val="0"/>
        <w:adjustRightInd w:val="0"/>
        <w:ind w:firstLine="708"/>
        <w:jc w:val="both"/>
        <w:rPr>
          <w:lang w:eastAsia="pt-BR"/>
        </w:rPr>
      </w:pPr>
      <w:r w:rsidRPr="00742642">
        <w:rPr>
          <w:bCs/>
          <w:lang w:eastAsia="pt-BR"/>
        </w:rPr>
        <w:t>Após a realização da análise descritiva da mão-de-obra ocupada e do mercado de trabalho da mesorregião agreste, obtivemos a matriz de interação para a indústria de transformação a fim de identificar quais os setores mais estáveis e aqueles cujo grau de rotatividade é elevado. A matriz de interação, representando os trabalhadores formais da indústria de transformação do Agreste de Pernambuco, consiste em um esquema que registra o percentual de trabalhadores migrantes e não-migrantes, do ponto de vista setorial. Sua interpretação pode ser feita observando os anos e os setores em questão, como veremos a seguir.</w:t>
      </w:r>
      <w:r w:rsidRPr="00742642">
        <w:rPr>
          <w:lang w:eastAsia="pt-BR"/>
        </w:rPr>
        <w:t xml:space="preserve"> </w:t>
      </w:r>
    </w:p>
    <w:p w:rsidR="00095653" w:rsidRPr="00742642" w:rsidRDefault="00095653" w:rsidP="00742642">
      <w:pPr>
        <w:widowControl w:val="0"/>
        <w:autoSpaceDE w:val="0"/>
        <w:autoSpaceDN w:val="0"/>
        <w:adjustRightInd w:val="0"/>
        <w:ind w:firstLine="708"/>
        <w:jc w:val="both"/>
        <w:rPr>
          <w:bCs/>
          <w:lang w:eastAsia="pt-BR"/>
        </w:rPr>
      </w:pPr>
      <w:r w:rsidRPr="00742642">
        <w:rPr>
          <w:bCs/>
          <w:lang w:eastAsia="pt-BR"/>
        </w:rPr>
        <w:t>Das 22 divisões do CNAE para indústria de transformação, aquela que apresentou mai</w:t>
      </w:r>
      <w:r w:rsidR="007A4542" w:rsidRPr="00742642">
        <w:rPr>
          <w:bCs/>
          <w:lang w:eastAsia="pt-BR"/>
        </w:rPr>
        <w:t xml:space="preserve">or estabilidade foi a divisão 36 (moveleira), onde aproximadamente 73,78 </w:t>
      </w:r>
      <w:r w:rsidRPr="00742642">
        <w:rPr>
          <w:bCs/>
          <w:lang w:eastAsia="pt-BR"/>
        </w:rPr>
        <w:t>% dos trabalhadores que estavam empregados nessa divisão em 1995 permaneceram nela em 2008.</w:t>
      </w:r>
      <w:r w:rsidRPr="00742642">
        <w:rPr>
          <w:lang w:eastAsia="pt-BR"/>
        </w:rPr>
        <w:t xml:space="preserve"> Através dela </w:t>
      </w:r>
      <w:r w:rsidRPr="00742642">
        <w:rPr>
          <w:lang w:eastAsia="pt-BR"/>
        </w:rPr>
        <w:lastRenderedPageBreak/>
        <w:t>observamos que os segmentos mais estáveis, além des</w:t>
      </w:r>
      <w:r w:rsidR="007A4542" w:rsidRPr="00742642">
        <w:rPr>
          <w:lang w:eastAsia="pt-BR"/>
        </w:rPr>
        <w:t>te, foram</w:t>
      </w:r>
      <w:r w:rsidRPr="00742642">
        <w:rPr>
          <w:lang w:eastAsia="pt-BR"/>
        </w:rPr>
        <w:t xml:space="preserve"> a divisão 25 (</w:t>
      </w:r>
      <w:proofErr w:type="spellStart"/>
      <w:r w:rsidRPr="00742642">
        <w:rPr>
          <w:lang w:eastAsia="pt-BR"/>
        </w:rPr>
        <w:t>fabric</w:t>
      </w:r>
      <w:proofErr w:type="spellEnd"/>
      <w:r w:rsidRPr="00742642">
        <w:rPr>
          <w:lang w:eastAsia="pt-BR"/>
        </w:rPr>
        <w:t xml:space="preserve">. de borracha, plástico) com 71,11 % e a divisão 19 </w:t>
      </w:r>
      <w:r w:rsidRPr="00742642">
        <w:rPr>
          <w:bCs/>
          <w:lang w:eastAsia="pt-BR"/>
        </w:rPr>
        <w:t>(</w:t>
      </w:r>
      <w:proofErr w:type="spellStart"/>
      <w:r w:rsidRPr="00742642">
        <w:rPr>
          <w:bCs/>
          <w:lang w:eastAsia="pt-BR"/>
        </w:rPr>
        <w:t>fabric</w:t>
      </w:r>
      <w:proofErr w:type="spellEnd"/>
      <w:r w:rsidRPr="00742642">
        <w:rPr>
          <w:bCs/>
          <w:lang w:eastAsia="pt-BR"/>
        </w:rPr>
        <w:t xml:space="preserve">. de artigos de couro) com 70,59 % de estabilidade. As divisões de maior relevância no agreste, ou seja, as divisões 17 (têxtil) e 18 (confecções) apresentaram 34,09 % e 68,47 % de permanência, respectivamente. </w:t>
      </w:r>
    </w:p>
    <w:p w:rsidR="00095653" w:rsidRPr="00742642" w:rsidRDefault="00095653" w:rsidP="00742642">
      <w:pPr>
        <w:widowControl w:val="0"/>
        <w:autoSpaceDE w:val="0"/>
        <w:autoSpaceDN w:val="0"/>
        <w:adjustRightInd w:val="0"/>
        <w:ind w:firstLine="708"/>
        <w:jc w:val="both"/>
        <w:rPr>
          <w:bCs/>
          <w:lang w:eastAsia="pt-BR"/>
        </w:rPr>
      </w:pPr>
      <w:r w:rsidRPr="00742642">
        <w:rPr>
          <w:bCs/>
          <w:lang w:eastAsia="pt-BR"/>
        </w:rPr>
        <w:t>Constatamos, portanto, que a mobilidade do segmento têxtil foi alta entre 1995 e 2008, pois apenas 34,09% dos trabalhadores que estavam nesta divisão, no ano de 1995, permaneceram nela em 2008. A maior parte dos trabalhadores desse segmento migrou em 2008 para o setor de confecções (6,82 %).  Já o setor de confecções recebeu trabalhadores da divisão 17 – têxtil – (como acaba de ser citado, com 6,82 %), da divisão 26 – fabricação de minerais não metálicos – (1,54 %) e da divisão 36 – moveleira – (10,53 %). A tabela abaixo (</w:t>
      </w:r>
      <w:r w:rsidRPr="00742642">
        <w:rPr>
          <w:bCs/>
          <w:i/>
          <w:lang w:eastAsia="pt-BR"/>
        </w:rPr>
        <w:t>tabela 9</w:t>
      </w:r>
      <w:r w:rsidRPr="00742642">
        <w:rPr>
          <w:bCs/>
          <w:lang w:eastAsia="pt-BR"/>
        </w:rPr>
        <w:t>) reúne todo o percentual de trabalhadores que migraram de setor de 1995 a 2008, na indústria de transformação do agreste de Pernambuco.</w:t>
      </w:r>
    </w:p>
    <w:p w:rsidR="00095653" w:rsidRPr="00742642" w:rsidRDefault="00095653" w:rsidP="00742642">
      <w:pPr>
        <w:widowControl w:val="0"/>
        <w:autoSpaceDE w:val="0"/>
        <w:autoSpaceDN w:val="0"/>
        <w:adjustRightInd w:val="0"/>
        <w:jc w:val="both"/>
        <w:rPr>
          <w:b/>
          <w:lang w:eastAsia="pt-BR"/>
        </w:rPr>
      </w:pPr>
    </w:p>
    <w:p w:rsidR="00DA18B9" w:rsidRPr="00742642" w:rsidRDefault="00DA18B9" w:rsidP="00742642">
      <w:pPr>
        <w:widowControl w:val="0"/>
        <w:autoSpaceDE w:val="0"/>
        <w:autoSpaceDN w:val="0"/>
        <w:adjustRightInd w:val="0"/>
        <w:jc w:val="both"/>
        <w:rPr>
          <w:b/>
          <w:lang w:eastAsia="pt-BR"/>
        </w:rPr>
      </w:pPr>
    </w:p>
    <w:p w:rsidR="00DA18B9" w:rsidRPr="00742642" w:rsidRDefault="00DA18B9" w:rsidP="00742642">
      <w:pPr>
        <w:widowControl w:val="0"/>
        <w:autoSpaceDE w:val="0"/>
        <w:autoSpaceDN w:val="0"/>
        <w:adjustRightInd w:val="0"/>
        <w:jc w:val="both"/>
        <w:rPr>
          <w:b/>
          <w:lang w:eastAsia="pt-BR"/>
        </w:rPr>
      </w:pPr>
    </w:p>
    <w:p w:rsidR="00095653" w:rsidRPr="00742642" w:rsidRDefault="00095653" w:rsidP="00742642">
      <w:pPr>
        <w:widowControl w:val="0"/>
        <w:autoSpaceDE w:val="0"/>
        <w:autoSpaceDN w:val="0"/>
        <w:adjustRightInd w:val="0"/>
        <w:jc w:val="both"/>
        <w:rPr>
          <w:bCs/>
          <w:lang w:eastAsia="pt-BR"/>
        </w:rPr>
      </w:pPr>
      <w:r w:rsidRPr="00742642">
        <w:rPr>
          <w:b/>
          <w:lang w:eastAsia="pt-BR"/>
        </w:rPr>
        <w:t>Tabela 9</w:t>
      </w:r>
      <w:r w:rsidRPr="00742642">
        <w:rPr>
          <w:lang w:eastAsia="pt-BR"/>
        </w:rPr>
        <w:t xml:space="preserve">: </w:t>
      </w:r>
      <w:r w:rsidRPr="00742642">
        <w:rPr>
          <w:bCs/>
          <w:lang w:eastAsia="pt-BR"/>
        </w:rPr>
        <w:t>Matriz de interação representando o percentual de trabalhadores que migraram de setor entre os anos de 1995 e 2008 para a indústria de transformação do agreste pernambucano.</w:t>
      </w:r>
    </w:p>
    <w:p w:rsidR="00095653" w:rsidRPr="00742642" w:rsidRDefault="006C0874" w:rsidP="00742642">
      <w:pPr>
        <w:ind w:left="-284" w:hanging="567"/>
        <w:rPr>
          <w:sz w:val="18"/>
          <w:szCs w:val="18"/>
          <w:lang w:eastAsia="pt-BR"/>
        </w:rPr>
      </w:pPr>
      <w:r w:rsidRPr="00742642">
        <w:rPr>
          <w:noProof/>
          <w:sz w:val="18"/>
          <w:szCs w:val="18"/>
          <w:lang w:eastAsia="pt-BR"/>
        </w:rPr>
        <w:drawing>
          <wp:inline distT="0" distB="0" distL="0" distR="0">
            <wp:extent cx="6705600" cy="2905125"/>
            <wp:effectExtent l="0" t="0" r="0" b="9525"/>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0" cy="2905125"/>
                    </a:xfrm>
                    <a:prstGeom prst="rect">
                      <a:avLst/>
                    </a:prstGeom>
                    <a:noFill/>
                    <a:ln>
                      <a:noFill/>
                    </a:ln>
                  </pic:spPr>
                </pic:pic>
              </a:graphicData>
            </a:graphic>
          </wp:inline>
        </w:drawing>
      </w:r>
    </w:p>
    <w:p w:rsidR="00095653" w:rsidRPr="00742642" w:rsidRDefault="00095653" w:rsidP="00742642">
      <w:pPr>
        <w:ind w:left="-284" w:firstLine="284"/>
        <w:rPr>
          <w:sz w:val="18"/>
          <w:szCs w:val="18"/>
          <w:lang w:eastAsia="pt-BR"/>
        </w:rPr>
      </w:pPr>
      <w:r w:rsidRPr="00742642">
        <w:rPr>
          <w:sz w:val="18"/>
          <w:szCs w:val="18"/>
          <w:lang w:eastAsia="pt-BR"/>
        </w:rPr>
        <w:t>Fonte: Elaboração própria com base na RAISMIGRA 1995 e 2008.</w:t>
      </w:r>
    </w:p>
    <w:p w:rsidR="00095653" w:rsidRPr="00742642" w:rsidRDefault="00095653" w:rsidP="00742642">
      <w:pPr>
        <w:widowControl w:val="0"/>
        <w:autoSpaceDE w:val="0"/>
        <w:autoSpaceDN w:val="0"/>
        <w:adjustRightInd w:val="0"/>
        <w:spacing w:after="200"/>
        <w:jc w:val="both"/>
        <w:rPr>
          <w:lang w:eastAsia="pt-BR"/>
        </w:rPr>
      </w:pPr>
    </w:p>
    <w:p w:rsidR="00095653" w:rsidRPr="00742642" w:rsidRDefault="00095653" w:rsidP="00742642">
      <w:pPr>
        <w:widowControl w:val="0"/>
        <w:autoSpaceDE w:val="0"/>
        <w:autoSpaceDN w:val="0"/>
        <w:adjustRightInd w:val="0"/>
        <w:spacing w:after="200"/>
        <w:ind w:firstLine="708"/>
        <w:jc w:val="both"/>
        <w:rPr>
          <w:bCs/>
          <w:lang w:eastAsia="pt-BR"/>
        </w:rPr>
      </w:pPr>
      <w:r w:rsidRPr="00742642">
        <w:rPr>
          <w:lang w:eastAsia="pt-BR"/>
        </w:rPr>
        <w:t xml:space="preserve">No intervalo de 13 anos (1995 a 2008), podemos verificar que no segmento têxtil boa parte dos trabalhadores migrou para o segmento de confecções, ou seja, a rotatividade nesse setor foi considerada alta, uma vez que o percentual de não migrantes foi baixo (34,09%). Para o mesmo intervalo, verificou-se que o segmento de confecções apresentou relativa estabilidade (68,47%) e boa parte da mão de obra desse setor migrou para a divisão têxtil (9,91%).   Concluímos, portanto, que nas cidades de Caruaru, Santa Cruz do Capibaribe e Toritama, bem como no agreste em sua totalidade, o segmento de confecções é considerado “estável” com </w:t>
      </w:r>
      <w:r w:rsidRPr="00742642">
        <w:rPr>
          <w:bCs/>
          <w:lang w:eastAsia="pt-BR"/>
        </w:rPr>
        <w:t xml:space="preserve">68,47 % de permanência, já o segmento têxtil apresentou um alto dinamismo, com apenas 34,09 % de permanência entre os anos de 1995-2008. Ambos os setores, entretanto, receberam um grande contingente de mão-de-obra de outras divisões da indústria de transformação. Esses resultados podem ser explicados devido ao fato de que, embora ambos os segmentos da indústria de transformação (têxtil e confecção) sejam potencialmente fortes na região, a confecção de roupas e assessórios se sobressai sobre o setor têxtil devido a fatores como a facilidade de obtenção de emprego, permitindo ao trabalhador se estabelecer financeiramente, </w:t>
      </w:r>
      <w:r w:rsidRPr="00742642">
        <w:rPr>
          <w:bCs/>
          <w:lang w:eastAsia="pt-BR"/>
        </w:rPr>
        <w:lastRenderedPageBreak/>
        <w:t>fato este que atraí mais trabalhadores de outras divisões industriais e é expresso pelo percentual de permanência do trabalhador no emprego.</w:t>
      </w:r>
    </w:p>
    <w:p w:rsidR="00DA18B9" w:rsidRPr="00742642" w:rsidRDefault="00DA18B9" w:rsidP="00742642">
      <w:pPr>
        <w:widowControl w:val="0"/>
        <w:autoSpaceDE w:val="0"/>
        <w:autoSpaceDN w:val="0"/>
        <w:adjustRightInd w:val="0"/>
        <w:jc w:val="both"/>
        <w:rPr>
          <w:b/>
          <w:bCs/>
          <w:lang w:eastAsia="pt-BR"/>
        </w:rPr>
      </w:pPr>
    </w:p>
    <w:p w:rsidR="00095653" w:rsidRPr="00742642" w:rsidRDefault="00D205C6" w:rsidP="00742642">
      <w:pPr>
        <w:widowControl w:val="0"/>
        <w:autoSpaceDE w:val="0"/>
        <w:autoSpaceDN w:val="0"/>
        <w:adjustRightInd w:val="0"/>
        <w:jc w:val="both"/>
        <w:rPr>
          <w:b/>
          <w:bCs/>
          <w:lang w:eastAsia="pt-BR"/>
        </w:rPr>
      </w:pPr>
      <w:r w:rsidRPr="00742642">
        <w:rPr>
          <w:b/>
          <w:bCs/>
          <w:lang w:eastAsia="pt-BR"/>
        </w:rPr>
        <w:t>4</w:t>
      </w:r>
      <w:r w:rsidR="00095653" w:rsidRPr="00742642">
        <w:rPr>
          <w:b/>
          <w:bCs/>
          <w:lang w:eastAsia="pt-BR"/>
        </w:rPr>
        <w:t>. RELAÇÃO ENTRE SALÁRIO E ROTATIVIDADE NO EMPREGO</w:t>
      </w:r>
    </w:p>
    <w:p w:rsidR="00D205C6" w:rsidRPr="00742642" w:rsidRDefault="00D205C6" w:rsidP="00742642">
      <w:pPr>
        <w:rPr>
          <w:sz w:val="16"/>
          <w:szCs w:val="16"/>
          <w:lang w:eastAsia="pt-BR"/>
        </w:rPr>
      </w:pPr>
    </w:p>
    <w:p w:rsidR="00D205C6" w:rsidRPr="00742642" w:rsidRDefault="00D205C6" w:rsidP="00742642">
      <w:pPr>
        <w:widowControl w:val="0"/>
        <w:autoSpaceDE w:val="0"/>
        <w:autoSpaceDN w:val="0"/>
        <w:adjustRightInd w:val="0"/>
        <w:jc w:val="both"/>
        <w:rPr>
          <w:b/>
          <w:bCs/>
          <w:lang w:eastAsia="pt-BR"/>
        </w:rPr>
      </w:pPr>
      <w:r w:rsidRPr="00742642">
        <w:rPr>
          <w:b/>
          <w:bCs/>
          <w:lang w:eastAsia="pt-BR"/>
        </w:rPr>
        <w:t>4</w:t>
      </w:r>
      <w:r w:rsidR="00572F5F" w:rsidRPr="00742642">
        <w:rPr>
          <w:b/>
          <w:bCs/>
          <w:lang w:eastAsia="pt-BR"/>
        </w:rPr>
        <w:t xml:space="preserve">.1. </w:t>
      </w:r>
      <w:r w:rsidRPr="00742642">
        <w:rPr>
          <w:b/>
          <w:bCs/>
          <w:lang w:eastAsia="pt-BR"/>
        </w:rPr>
        <w:t>Dados</w:t>
      </w:r>
    </w:p>
    <w:p w:rsidR="00D205C6" w:rsidRPr="00742642" w:rsidRDefault="00D205C6" w:rsidP="00742642">
      <w:pPr>
        <w:widowControl w:val="0"/>
        <w:autoSpaceDE w:val="0"/>
        <w:autoSpaceDN w:val="0"/>
        <w:adjustRightInd w:val="0"/>
        <w:jc w:val="both"/>
        <w:rPr>
          <w:b/>
          <w:bCs/>
          <w:lang w:eastAsia="pt-BR"/>
        </w:rPr>
      </w:pPr>
    </w:p>
    <w:p w:rsidR="00D205C6" w:rsidRPr="00742642" w:rsidRDefault="00D205C6" w:rsidP="00742642">
      <w:pPr>
        <w:ind w:firstLine="567"/>
        <w:jc w:val="both"/>
        <w:rPr>
          <w:lang w:eastAsia="pt-BR"/>
        </w:rPr>
      </w:pPr>
      <w:r w:rsidRPr="00742642">
        <w:rPr>
          <w:lang w:eastAsia="pt-BR"/>
        </w:rPr>
        <w:t>A RAISMIGRA representa a base de dados mais completa sobre o mercado de trabalho brasileiro em termos de registro administrativo, e destina-se, sobretudo, a estudos econômicos nacionais e locais. Os dados são derivados da Relação Anual de Informações Sociais (RAIS), mantida pelo Ministério do Trabalho e do Emprego, e visa o acompanhamento geográfico, setorial e ocupacional da trajetória dos trabalhadores ao longo do tempo.</w:t>
      </w:r>
    </w:p>
    <w:p w:rsidR="00D205C6" w:rsidRPr="00742642" w:rsidRDefault="00D205C6" w:rsidP="00742642">
      <w:pPr>
        <w:ind w:firstLine="567"/>
        <w:jc w:val="both"/>
        <w:rPr>
          <w:lang w:eastAsia="pt-BR"/>
        </w:rPr>
      </w:pPr>
      <w:r w:rsidRPr="00742642">
        <w:rPr>
          <w:lang w:eastAsia="pt-BR"/>
        </w:rPr>
        <w:t xml:space="preserve"> O estudo sobre o dinamismo, duração e reinserção do indivíduo no mercado de trabalho deve-se, principalmente, a forma longitudinal sobre a qual a base está organizada. Os dois modelos sobre o qual a base de dados se fundamenta são: o modelo Painel (posicionamento do trabalhador no tempo) que permite verificar a flexibilidade do emprego, e o modelo Vinculo (relação formal entre trabalhador e firma) a partir do qual é possível realizar estudos de duração e reinserção da mão-de-obra</w:t>
      </w:r>
      <w:r w:rsidRPr="00742642">
        <w:rPr>
          <w:vertAlign w:val="superscript"/>
          <w:lang w:eastAsia="pt-BR"/>
        </w:rPr>
        <w:footnoteReference w:id="4"/>
      </w:r>
      <w:r w:rsidRPr="00742642">
        <w:rPr>
          <w:lang w:eastAsia="pt-BR"/>
        </w:rPr>
        <w:t>.</w:t>
      </w:r>
    </w:p>
    <w:p w:rsidR="00D205C6" w:rsidRPr="00742642" w:rsidRDefault="00D205C6" w:rsidP="00742642">
      <w:pPr>
        <w:ind w:firstLine="567"/>
        <w:jc w:val="both"/>
        <w:rPr>
          <w:lang w:eastAsia="pt-BR"/>
        </w:rPr>
      </w:pPr>
      <w:r w:rsidRPr="00742642">
        <w:rPr>
          <w:lang w:eastAsia="pt-BR"/>
        </w:rPr>
        <w:t xml:space="preserve">  Para a pesquisa em questão, a análise foi realizada para três anos, 1995, 2000 e 2008. Neste estudo, para a análise descritiva e modelos de regressão estimados, foi considerado todos os trabalhadores com o registro de trabalho no Agreste Pernambucano, o que totalizou no ano de 1995, 107.726 trabalhadores, no ano de 2000, 135.944 trabalhadores, e no ano de 2008, 250.127 trabalhadores. E, na análise da mobilidade do emprego, a qual é necessário acompanhar as informações de ocupação do trabalhador nos anos considerados na análise, considerou-se a amostra de indivíduos com </w:t>
      </w:r>
      <w:proofErr w:type="spellStart"/>
      <w:r w:rsidRPr="00742642">
        <w:rPr>
          <w:lang w:eastAsia="pt-BR"/>
        </w:rPr>
        <w:t>vinculo</w:t>
      </w:r>
      <w:proofErr w:type="spellEnd"/>
      <w:r w:rsidRPr="00742642">
        <w:rPr>
          <w:lang w:eastAsia="pt-BR"/>
        </w:rPr>
        <w:t xml:space="preserve"> empregatício, nos três anos analisados, na indústria de transformação da mesorregião agreste de Pernambuco, formando um painel balanceado com um total de 323.178 trabalhadores empregados, nos anos de 1995, 2000 e 2008. </w:t>
      </w:r>
    </w:p>
    <w:p w:rsidR="00D205C6" w:rsidRPr="00742642" w:rsidRDefault="00D205C6" w:rsidP="00742642">
      <w:pPr>
        <w:widowControl w:val="0"/>
        <w:autoSpaceDE w:val="0"/>
        <w:autoSpaceDN w:val="0"/>
        <w:adjustRightInd w:val="0"/>
        <w:jc w:val="both"/>
        <w:rPr>
          <w:b/>
          <w:bCs/>
          <w:lang w:eastAsia="pt-BR"/>
        </w:rPr>
      </w:pPr>
    </w:p>
    <w:p w:rsidR="006C0874" w:rsidRPr="00742642" w:rsidRDefault="00D205C6" w:rsidP="00742642">
      <w:pPr>
        <w:widowControl w:val="0"/>
        <w:autoSpaceDE w:val="0"/>
        <w:autoSpaceDN w:val="0"/>
        <w:adjustRightInd w:val="0"/>
        <w:jc w:val="both"/>
        <w:rPr>
          <w:b/>
          <w:bCs/>
          <w:lang w:eastAsia="pt-BR"/>
        </w:rPr>
      </w:pPr>
      <w:r w:rsidRPr="00742642">
        <w:rPr>
          <w:b/>
          <w:bCs/>
          <w:lang w:eastAsia="pt-BR"/>
        </w:rPr>
        <w:t>4.2. Modelo Empírico</w:t>
      </w:r>
    </w:p>
    <w:p w:rsidR="00D205C6" w:rsidRPr="00742642" w:rsidRDefault="00D205C6" w:rsidP="00742642">
      <w:pPr>
        <w:widowControl w:val="0"/>
        <w:autoSpaceDE w:val="0"/>
        <w:autoSpaceDN w:val="0"/>
        <w:adjustRightInd w:val="0"/>
        <w:jc w:val="both"/>
        <w:rPr>
          <w:b/>
          <w:bCs/>
          <w:lang w:eastAsia="pt-BR"/>
        </w:rPr>
      </w:pPr>
    </w:p>
    <w:p w:rsidR="00095653" w:rsidRPr="00742642" w:rsidRDefault="00095653" w:rsidP="00742642">
      <w:pPr>
        <w:widowControl w:val="0"/>
        <w:autoSpaceDE w:val="0"/>
        <w:autoSpaceDN w:val="0"/>
        <w:adjustRightInd w:val="0"/>
        <w:ind w:firstLine="708"/>
        <w:jc w:val="both"/>
        <w:rPr>
          <w:bCs/>
          <w:lang w:eastAsia="pt-BR"/>
        </w:rPr>
      </w:pPr>
      <w:r w:rsidRPr="00742642">
        <w:rPr>
          <w:bCs/>
          <w:lang w:eastAsia="pt-BR"/>
        </w:rPr>
        <w:t xml:space="preserve">Para analisar a relação entre a rotatividade da mão-de-obra e o salário do trabalhador estimou-se uma equação tipicamente </w:t>
      </w:r>
      <w:proofErr w:type="spellStart"/>
      <w:r w:rsidRPr="00742642">
        <w:rPr>
          <w:bCs/>
          <w:lang w:eastAsia="pt-BR"/>
        </w:rPr>
        <w:t>Minceriana</w:t>
      </w:r>
      <w:proofErr w:type="spellEnd"/>
      <w:r w:rsidR="00E31BE7" w:rsidRPr="00742642">
        <w:rPr>
          <w:bCs/>
          <w:lang w:eastAsia="pt-BR"/>
        </w:rPr>
        <w:t xml:space="preserve"> (MINCER, 1974)</w:t>
      </w:r>
      <w:r w:rsidRPr="00742642">
        <w:rPr>
          <w:bCs/>
          <w:lang w:eastAsia="pt-BR"/>
        </w:rPr>
        <w:t>. Como características não observáveis dos trabalhadores podem influenciar no seu salário partiu-se para a estimação de um modelo de dados em painel. A vantagem de se estimar um modelo com este reside no fato de o nosso coeficiente de interesse representar exatamente o que queremos investigar, a relação de causalidade entre a rotatividade no emprego e o salário do trabalhador. O objetivo do modelo é</w:t>
      </w:r>
      <w:r w:rsidR="002E2921" w:rsidRPr="00742642">
        <w:rPr>
          <w:bCs/>
          <w:lang w:eastAsia="pt-BR"/>
        </w:rPr>
        <w:t>, portanto,</w:t>
      </w:r>
      <w:r w:rsidRPr="00742642">
        <w:rPr>
          <w:bCs/>
          <w:lang w:eastAsia="pt-BR"/>
        </w:rPr>
        <w:t xml:space="preserve"> apresentar quais as variáveis que impactam nos salários e quais os setores de atividade do Agreste com maiores e menores retornos salariais, enfatizando ainda o papel da mobilidade de mão-de-obra como variável-chave. A forma funcional pode ser expressa como:</w:t>
      </w:r>
    </w:p>
    <w:p w:rsidR="00095653" w:rsidRPr="00742642" w:rsidRDefault="00095653" w:rsidP="00742642">
      <w:pPr>
        <w:widowControl w:val="0"/>
        <w:autoSpaceDE w:val="0"/>
        <w:autoSpaceDN w:val="0"/>
        <w:adjustRightInd w:val="0"/>
        <w:jc w:val="both"/>
        <w:rPr>
          <w:sz w:val="16"/>
          <w:szCs w:val="16"/>
          <w:lang w:eastAsia="pt-BR"/>
        </w:rPr>
      </w:pPr>
      <w:r w:rsidRPr="00742642">
        <w:rPr>
          <w:bCs/>
          <w:lang w:eastAsia="pt-BR"/>
        </w:rPr>
        <w:t xml:space="preserve"> </w:t>
      </w:r>
    </w:p>
    <w:p w:rsidR="00095653" w:rsidRPr="00742642" w:rsidRDefault="00095653" w:rsidP="00742642">
      <w:pPr>
        <w:widowControl w:val="0"/>
        <w:autoSpaceDE w:val="0"/>
        <w:autoSpaceDN w:val="0"/>
        <w:adjustRightInd w:val="0"/>
        <w:jc w:val="both"/>
        <w:rPr>
          <w:bCs/>
          <w:lang w:eastAsia="pt-BR"/>
        </w:rPr>
      </w:pPr>
      <w:r w:rsidRPr="00742642">
        <w:rPr>
          <w:lang w:eastAsia="pt-BR"/>
        </w:rPr>
        <w:t xml:space="preserve"> </w:t>
      </w:r>
      <w:r w:rsidRPr="00742642">
        <w:rPr>
          <w:lang w:eastAsia="pt-BR"/>
        </w:rPr>
        <w:tab/>
      </w:r>
      <w:r w:rsidRPr="00742642">
        <w:rPr>
          <w:lang w:eastAsia="pt-BR"/>
        </w:rPr>
        <w:tab/>
      </w:r>
      <w:r w:rsidRPr="00742642">
        <w:rPr>
          <w:lang w:eastAsia="pt-BR"/>
        </w:rPr>
        <w:tab/>
      </w:r>
      <w:r w:rsidRPr="00742642">
        <w:rPr>
          <w:lang w:eastAsia="pt-BR"/>
        </w:rPr>
        <w:tab/>
      </w:r>
      <m:oMath>
        <m:r>
          <w:rPr>
            <w:rFonts w:ascii="Cambria Math" w:hAnsi="Cambria Math"/>
            <w:lang w:eastAsia="pt-BR"/>
          </w:rPr>
          <m:t xml:space="preserve">Ln </m:t>
        </m:r>
        <m:sSub>
          <m:sSubPr>
            <m:ctrlPr>
              <w:rPr>
                <w:rFonts w:ascii="Cambria Math" w:hAnsi="Cambria Math"/>
                <w:bCs/>
                <w:i/>
                <w:lang w:eastAsia="pt-BR"/>
              </w:rPr>
            </m:ctrlPr>
          </m:sSubPr>
          <m:e>
            <m:r>
              <w:rPr>
                <w:rFonts w:ascii="Cambria Math" w:hAnsi="Cambria Math"/>
                <w:lang w:eastAsia="pt-BR"/>
              </w:rPr>
              <m:t>W</m:t>
            </m:r>
          </m:e>
          <m:sub>
            <m:r>
              <w:rPr>
                <w:rFonts w:ascii="Cambria Math" w:hAnsi="Cambria Math"/>
                <w:lang w:eastAsia="pt-BR"/>
              </w:rPr>
              <m:t>i</m:t>
            </m:r>
          </m:sub>
        </m:sSub>
        <m:r>
          <w:rPr>
            <w:rFonts w:ascii="Cambria Math" w:hAnsi="Cambria Math"/>
            <w:lang w:eastAsia="pt-BR"/>
          </w:rPr>
          <m:t xml:space="preserve">= </m:t>
        </m:r>
        <m:sSub>
          <m:sSubPr>
            <m:ctrlPr>
              <w:rPr>
                <w:rFonts w:ascii="Cambria Math" w:hAnsi="Cambria Math"/>
                <w:i/>
                <w:lang w:eastAsia="pt-BR"/>
              </w:rPr>
            </m:ctrlPr>
          </m:sSubPr>
          <m:e>
            <m:r>
              <w:rPr>
                <w:rFonts w:ascii="Cambria Math" w:hAnsi="Cambria Math"/>
                <w:lang w:eastAsia="pt-BR"/>
              </w:rPr>
              <m:t>β</m:t>
            </m:r>
          </m:e>
          <m:sub>
            <m:r>
              <w:rPr>
                <w:rFonts w:ascii="Cambria Math" w:hAnsi="Cambria Math"/>
                <w:lang w:eastAsia="pt-BR"/>
              </w:rPr>
              <m:t>0</m:t>
            </m:r>
          </m:sub>
        </m:sSub>
        <m:r>
          <w:rPr>
            <w:rFonts w:ascii="Cambria Math" w:hAnsi="Cambria Math"/>
            <w:lang w:eastAsia="pt-BR"/>
          </w:rPr>
          <m:t xml:space="preserve"> + </m:t>
        </m:r>
        <m:sSub>
          <m:sSubPr>
            <m:ctrlPr>
              <w:rPr>
                <w:rFonts w:ascii="Cambria Math" w:hAnsi="Cambria Math"/>
                <w:i/>
                <w:lang w:eastAsia="pt-BR"/>
              </w:rPr>
            </m:ctrlPr>
          </m:sSubPr>
          <m:e>
            <m:r>
              <w:rPr>
                <w:rFonts w:ascii="Cambria Math" w:hAnsi="Cambria Math"/>
                <w:lang w:eastAsia="pt-BR"/>
              </w:rPr>
              <m:t>β</m:t>
            </m:r>
          </m:e>
          <m:sub>
            <m:r>
              <w:rPr>
                <w:rFonts w:ascii="Cambria Math" w:hAnsi="Cambria Math"/>
                <w:lang w:eastAsia="pt-BR"/>
              </w:rPr>
              <m:t>1</m:t>
            </m:r>
          </m:sub>
        </m:sSub>
        <m:sSub>
          <m:sSubPr>
            <m:ctrlPr>
              <w:rPr>
                <w:rFonts w:ascii="Cambria Math" w:hAnsi="Cambria Math"/>
                <w:bCs/>
                <w:i/>
                <w:lang w:eastAsia="pt-BR"/>
              </w:rPr>
            </m:ctrlPr>
          </m:sSubPr>
          <m:e>
            <m:r>
              <w:rPr>
                <w:rFonts w:ascii="Cambria Math" w:hAnsi="Cambria Math"/>
                <w:lang w:eastAsia="pt-BR"/>
              </w:rPr>
              <m:t>X</m:t>
            </m:r>
          </m:e>
          <m:sub>
            <m:r>
              <w:rPr>
                <w:rFonts w:ascii="Cambria Math" w:hAnsi="Cambria Math"/>
                <w:lang w:eastAsia="pt-BR"/>
              </w:rPr>
              <m:t>i</m:t>
            </m:r>
          </m:sub>
        </m:sSub>
        <m:r>
          <w:rPr>
            <w:rFonts w:ascii="Cambria Math" w:hAnsi="Cambria Math"/>
            <w:lang w:eastAsia="pt-BR"/>
          </w:rPr>
          <m:t xml:space="preserve">+ </m:t>
        </m:r>
        <m:sSub>
          <m:sSubPr>
            <m:ctrlPr>
              <w:rPr>
                <w:rFonts w:ascii="Cambria Math" w:hAnsi="Cambria Math"/>
                <w:i/>
                <w:lang w:eastAsia="pt-BR"/>
              </w:rPr>
            </m:ctrlPr>
          </m:sSubPr>
          <m:e>
            <m:r>
              <w:rPr>
                <w:rFonts w:ascii="Cambria Math" w:hAnsi="Cambria Math"/>
                <w:lang w:eastAsia="pt-BR"/>
              </w:rPr>
              <m:t>β</m:t>
            </m:r>
          </m:e>
          <m:sub>
            <m:r>
              <w:rPr>
                <w:rFonts w:ascii="Cambria Math" w:hAnsi="Cambria Math"/>
                <w:lang w:eastAsia="pt-BR"/>
              </w:rPr>
              <m:t>2</m:t>
            </m:r>
          </m:sub>
        </m:sSub>
        <m:sSub>
          <m:sSubPr>
            <m:ctrlPr>
              <w:rPr>
                <w:rFonts w:ascii="Cambria Math" w:hAnsi="Cambria Math"/>
                <w:bCs/>
                <w:i/>
                <w:lang w:eastAsia="pt-BR"/>
              </w:rPr>
            </m:ctrlPr>
          </m:sSubPr>
          <m:e>
            <m:r>
              <w:rPr>
                <w:rFonts w:ascii="Cambria Math" w:hAnsi="Cambria Math"/>
                <w:lang w:eastAsia="pt-BR"/>
              </w:rPr>
              <m:t>Z</m:t>
            </m:r>
          </m:e>
          <m:sub>
            <m:r>
              <w:rPr>
                <w:rFonts w:ascii="Cambria Math" w:hAnsi="Cambria Math"/>
                <w:lang w:eastAsia="pt-BR"/>
              </w:rPr>
              <m:t>i</m:t>
            </m:r>
          </m:sub>
        </m:sSub>
        <m:r>
          <w:rPr>
            <w:rFonts w:ascii="Cambria Math" w:hAnsi="Cambria Math"/>
            <w:lang w:eastAsia="pt-BR"/>
          </w:rPr>
          <m:t xml:space="preserve">+ </m:t>
        </m:r>
        <m:sSub>
          <m:sSubPr>
            <m:ctrlPr>
              <w:rPr>
                <w:rFonts w:ascii="Cambria Math" w:hAnsi="Cambria Math"/>
                <w:bCs/>
                <w:i/>
                <w:lang w:eastAsia="pt-BR"/>
              </w:rPr>
            </m:ctrlPr>
          </m:sSubPr>
          <m:e>
            <m:r>
              <w:rPr>
                <w:rFonts w:ascii="Cambria Math" w:hAnsi="Cambria Math"/>
                <w:lang w:eastAsia="pt-BR"/>
              </w:rPr>
              <m:t>ε</m:t>
            </m:r>
          </m:e>
          <m:sub>
            <m:r>
              <w:rPr>
                <w:rFonts w:ascii="Cambria Math" w:hAnsi="Cambria Math"/>
                <w:lang w:eastAsia="pt-BR"/>
              </w:rPr>
              <m:t>i</m:t>
            </m:r>
          </m:sub>
        </m:sSub>
      </m:oMath>
    </w:p>
    <w:p w:rsidR="00095653" w:rsidRPr="00742642" w:rsidRDefault="00095653" w:rsidP="00742642">
      <w:pPr>
        <w:widowControl w:val="0"/>
        <w:autoSpaceDE w:val="0"/>
        <w:autoSpaceDN w:val="0"/>
        <w:adjustRightInd w:val="0"/>
        <w:jc w:val="both"/>
        <w:rPr>
          <w:bCs/>
          <w:sz w:val="16"/>
          <w:szCs w:val="16"/>
          <w:lang w:eastAsia="pt-BR"/>
        </w:rPr>
      </w:pPr>
    </w:p>
    <w:p w:rsidR="00F2798C" w:rsidRPr="00742642" w:rsidRDefault="00B83D61" w:rsidP="00742642">
      <w:pPr>
        <w:widowControl w:val="0"/>
        <w:autoSpaceDE w:val="0"/>
        <w:autoSpaceDN w:val="0"/>
        <w:adjustRightInd w:val="0"/>
        <w:jc w:val="both"/>
        <w:rPr>
          <w:bCs/>
          <w:lang w:eastAsia="pt-BR"/>
        </w:rPr>
      </w:pPr>
      <w:r w:rsidRPr="00742642">
        <w:rPr>
          <w:bCs/>
          <w:lang w:eastAsia="pt-BR"/>
        </w:rPr>
        <w:t>Em que o</w:t>
      </w:r>
      <w:r w:rsidR="00095653" w:rsidRPr="00742642">
        <w:rPr>
          <w:bCs/>
          <w:lang w:eastAsia="pt-BR"/>
        </w:rPr>
        <w:t xml:space="preserve"> subscrito i representa o trabalhador (indivíduo</w:t>
      </w:r>
      <w:proofErr w:type="gramStart"/>
      <w:r w:rsidR="00095653" w:rsidRPr="00742642">
        <w:rPr>
          <w:bCs/>
          <w:lang w:eastAsia="pt-BR"/>
        </w:rPr>
        <w:t>)</w:t>
      </w:r>
      <w:r w:rsidRPr="00742642">
        <w:rPr>
          <w:bCs/>
          <w:lang w:eastAsia="pt-BR"/>
        </w:rPr>
        <w:t xml:space="preserve">; </w:t>
      </w:r>
      <m:oMath>
        <m:r>
          <w:rPr>
            <w:rFonts w:ascii="Cambria Math" w:hAnsi="Cambria Math"/>
            <w:lang w:eastAsia="pt-BR"/>
          </w:rPr>
          <m:t xml:space="preserve">Ln </m:t>
        </m:r>
        <m:sSub>
          <m:sSubPr>
            <m:ctrlPr>
              <w:rPr>
                <w:rFonts w:ascii="Cambria Math" w:hAnsi="Cambria Math"/>
                <w:bCs/>
                <w:i/>
                <w:lang w:eastAsia="pt-BR"/>
              </w:rPr>
            </m:ctrlPr>
          </m:sSubPr>
          <m:e>
            <m:r>
              <w:rPr>
                <w:rFonts w:ascii="Cambria Math" w:hAnsi="Cambria Math"/>
                <w:lang w:eastAsia="pt-BR"/>
              </w:rPr>
              <m:t>W</m:t>
            </m:r>
          </m:e>
          <m:sub>
            <m:r>
              <w:rPr>
                <w:rFonts w:ascii="Cambria Math" w:hAnsi="Cambria Math"/>
                <w:lang w:eastAsia="pt-BR"/>
              </w:rPr>
              <m:t>i</m:t>
            </m:r>
          </m:sub>
        </m:sSub>
      </m:oMath>
      <w:r w:rsidR="00095653" w:rsidRPr="00742642">
        <w:rPr>
          <w:bCs/>
          <w:lang w:eastAsia="pt-BR"/>
        </w:rPr>
        <w:t xml:space="preserve"> </w:t>
      </w:r>
      <w:r w:rsidRPr="00742642">
        <w:rPr>
          <w:bCs/>
          <w:lang w:eastAsia="pt-BR"/>
        </w:rPr>
        <w:t>é</w:t>
      </w:r>
      <w:proofErr w:type="gramEnd"/>
      <w:r w:rsidRPr="00742642">
        <w:rPr>
          <w:bCs/>
          <w:lang w:eastAsia="pt-BR"/>
        </w:rPr>
        <w:t xml:space="preserve"> o</w:t>
      </w:r>
      <w:r w:rsidR="00095653" w:rsidRPr="00742642">
        <w:rPr>
          <w:bCs/>
          <w:lang w:eastAsia="pt-BR"/>
        </w:rPr>
        <w:t xml:space="preserve"> logaritmo natural da renda (remuneração média do trabal</w:t>
      </w:r>
      <w:r w:rsidR="002C674A" w:rsidRPr="00742642">
        <w:rPr>
          <w:bCs/>
          <w:lang w:eastAsia="pt-BR"/>
        </w:rPr>
        <w:t>hador no ano</w:t>
      </w:r>
      <w:r w:rsidR="00095653" w:rsidRPr="00742642">
        <w:rPr>
          <w:bCs/>
          <w:lang w:eastAsia="pt-BR"/>
        </w:rPr>
        <w:t>)</w:t>
      </w:r>
      <w:r w:rsidRPr="00742642">
        <w:rPr>
          <w:bCs/>
          <w:lang w:eastAsia="pt-BR"/>
        </w:rPr>
        <w:t xml:space="preserve">; </w:t>
      </w:r>
      <m:oMath>
        <m:sSub>
          <m:sSubPr>
            <m:ctrlPr>
              <w:rPr>
                <w:rFonts w:ascii="Cambria Math" w:hAnsi="Cambria Math"/>
                <w:i/>
                <w:lang w:eastAsia="pt-BR"/>
              </w:rPr>
            </m:ctrlPr>
          </m:sSubPr>
          <m:e>
            <m:r>
              <w:rPr>
                <w:rFonts w:ascii="Cambria Math" w:hAnsi="Cambria Math"/>
                <w:lang w:eastAsia="pt-BR"/>
              </w:rPr>
              <m:t>β</m:t>
            </m:r>
          </m:e>
          <m:sub>
            <m:r>
              <w:rPr>
                <w:rFonts w:ascii="Cambria Math" w:hAnsi="Cambria Math"/>
                <w:lang w:eastAsia="pt-BR"/>
              </w:rPr>
              <m:t>0</m:t>
            </m:r>
          </m:sub>
        </m:sSub>
      </m:oMath>
      <w:r w:rsidRPr="00742642">
        <w:rPr>
          <w:bCs/>
          <w:lang w:eastAsia="pt-BR"/>
        </w:rPr>
        <w:t xml:space="preserve"> é a</w:t>
      </w:r>
      <w:r w:rsidR="00095653" w:rsidRPr="00742642">
        <w:rPr>
          <w:bCs/>
          <w:lang w:eastAsia="pt-BR"/>
        </w:rPr>
        <w:t xml:space="preserve"> termo constante</w:t>
      </w:r>
      <w:r w:rsidRPr="00742642">
        <w:rPr>
          <w:bCs/>
          <w:lang w:eastAsia="pt-BR"/>
        </w:rPr>
        <w:t xml:space="preserve"> do modelo; </w:t>
      </w:r>
      <w:r w:rsidR="00095653" w:rsidRPr="00742642">
        <w:rPr>
          <w:bCs/>
          <w:i/>
          <w:lang w:eastAsia="pt-BR"/>
        </w:rPr>
        <w:t>Xi</w:t>
      </w:r>
      <w:r w:rsidR="00CA0964" w:rsidRPr="00742642">
        <w:rPr>
          <w:bCs/>
          <w:lang w:eastAsia="pt-BR"/>
        </w:rPr>
        <w:fldChar w:fldCharType="begin"/>
      </w:r>
      <w:r w:rsidR="00095653" w:rsidRPr="00742642">
        <w:rPr>
          <w:bCs/>
          <w:lang w:eastAsia="pt-BR"/>
        </w:rPr>
        <w:instrText xml:space="preserve"> QUOTE </w:instrText>
      </w:r>
      <m:oMath>
        <m:r>
          <m:rPr>
            <m:sty m:val="p"/>
          </m:rPr>
          <w:rPr>
            <w:rFonts w:ascii="Cambria Math" w:hAnsi="Cambria Math"/>
            <w:lang w:eastAsia="pt-BR"/>
          </w:rPr>
          <m:t>β</m:t>
        </m:r>
        <m:sSub>
          <m:sSubPr>
            <m:ctrlPr>
              <w:rPr>
                <w:rFonts w:ascii="Cambria Math" w:hAnsi="Cambria Math"/>
                <w:bCs/>
                <w:i/>
                <w:lang w:eastAsia="pt-BR"/>
              </w:rPr>
            </m:ctrlPr>
          </m:sSubPr>
          <m:e>
            <m:r>
              <m:rPr>
                <m:sty m:val="p"/>
              </m:rPr>
              <w:rPr>
                <w:rFonts w:ascii="Cambria Math" w:hAnsi="Cambria Math"/>
                <w:lang w:eastAsia="pt-BR"/>
              </w:rPr>
              <m:t>X</m:t>
            </m:r>
          </m:e>
          <m:sub>
            <m:r>
              <m:rPr>
                <m:sty m:val="p"/>
              </m:rPr>
              <w:rPr>
                <w:rFonts w:ascii="Cambria Math" w:hAnsi="Cambria Math"/>
                <w:lang w:eastAsia="pt-BR"/>
              </w:rPr>
              <m:t>i</m:t>
            </m:r>
          </m:sub>
        </m:sSub>
      </m:oMath>
      <w:r w:rsidR="00095653" w:rsidRPr="00742642">
        <w:rPr>
          <w:bCs/>
          <w:lang w:eastAsia="pt-BR"/>
        </w:rPr>
        <w:instrText xml:space="preserve"> </w:instrText>
      </w:r>
      <w:r w:rsidR="00CA0964" w:rsidRPr="00742642">
        <w:rPr>
          <w:bCs/>
          <w:lang w:eastAsia="pt-BR"/>
        </w:rPr>
        <w:fldChar w:fldCharType="end"/>
      </w:r>
      <w:r w:rsidR="00095653" w:rsidRPr="00742642">
        <w:rPr>
          <w:bCs/>
          <w:lang w:eastAsia="pt-BR"/>
        </w:rPr>
        <w:t xml:space="preserve"> </w:t>
      </w:r>
      <w:r w:rsidRPr="00742642">
        <w:rPr>
          <w:bCs/>
          <w:lang w:eastAsia="pt-BR"/>
        </w:rPr>
        <w:t>é o</w:t>
      </w:r>
      <w:r w:rsidR="00095653" w:rsidRPr="00742642">
        <w:rPr>
          <w:bCs/>
          <w:lang w:eastAsia="pt-BR"/>
        </w:rPr>
        <w:t xml:space="preserve"> </w:t>
      </w:r>
      <w:r w:rsidRPr="00742642">
        <w:rPr>
          <w:bCs/>
          <w:lang w:eastAsia="pt-BR"/>
        </w:rPr>
        <w:t xml:space="preserve">vetor de variáveis explicativas, inclui o </w:t>
      </w:r>
      <w:r w:rsidR="00095653" w:rsidRPr="00742642">
        <w:rPr>
          <w:bCs/>
          <w:lang w:eastAsia="pt-BR"/>
        </w:rPr>
        <w:t>tempo no emprego, idade, gênero (</w:t>
      </w:r>
      <w:proofErr w:type="spellStart"/>
      <w:r w:rsidR="00095653" w:rsidRPr="00742642">
        <w:rPr>
          <w:bCs/>
          <w:i/>
          <w:lang w:eastAsia="pt-BR"/>
        </w:rPr>
        <w:t>dummy</w:t>
      </w:r>
      <w:proofErr w:type="spellEnd"/>
      <w:r w:rsidR="00095653" w:rsidRPr="00742642">
        <w:rPr>
          <w:bCs/>
          <w:lang w:eastAsia="pt-BR"/>
        </w:rPr>
        <w:t>), escolaridade (</w:t>
      </w:r>
      <w:proofErr w:type="spellStart"/>
      <w:r w:rsidR="00095653" w:rsidRPr="00742642">
        <w:rPr>
          <w:bCs/>
          <w:i/>
          <w:lang w:eastAsia="pt-BR"/>
        </w:rPr>
        <w:t>dummy</w:t>
      </w:r>
      <w:proofErr w:type="spellEnd"/>
      <w:r w:rsidR="00095653" w:rsidRPr="00742642">
        <w:rPr>
          <w:bCs/>
          <w:lang w:eastAsia="pt-BR"/>
        </w:rPr>
        <w:t>), setor de atividade (</w:t>
      </w:r>
      <w:proofErr w:type="spellStart"/>
      <w:r w:rsidR="00095653" w:rsidRPr="00742642">
        <w:rPr>
          <w:bCs/>
          <w:i/>
          <w:lang w:eastAsia="pt-BR"/>
        </w:rPr>
        <w:t>dummy</w:t>
      </w:r>
      <w:proofErr w:type="spellEnd"/>
      <w:r w:rsidR="00095653" w:rsidRPr="00742642">
        <w:rPr>
          <w:bCs/>
          <w:lang w:eastAsia="pt-BR"/>
        </w:rPr>
        <w:t>)</w:t>
      </w:r>
      <w:r w:rsidR="00117C8A" w:rsidRPr="00742642">
        <w:rPr>
          <w:rStyle w:val="Refdenotaderodap"/>
          <w:bCs/>
          <w:lang w:eastAsia="pt-BR"/>
        </w:rPr>
        <w:footnoteReference w:id="5"/>
      </w:r>
      <w:r w:rsidRPr="00742642">
        <w:rPr>
          <w:bCs/>
          <w:lang w:eastAsia="pt-BR"/>
        </w:rPr>
        <w:t xml:space="preserve">; </w:t>
      </w:r>
      <w:r w:rsidR="00CA0964" w:rsidRPr="00742642">
        <w:rPr>
          <w:bCs/>
          <w:i/>
          <w:lang w:eastAsia="pt-BR"/>
        </w:rPr>
        <w:fldChar w:fldCharType="begin"/>
      </w:r>
      <w:r w:rsidR="00095653" w:rsidRPr="00742642">
        <w:rPr>
          <w:bCs/>
          <w:i/>
          <w:lang w:eastAsia="pt-BR"/>
        </w:rPr>
        <w:instrText xml:space="preserve"> QUOTE </w:instrText>
      </w:r>
      <m:oMath>
        <m:r>
          <m:rPr>
            <m:sty m:val="p"/>
          </m:rPr>
          <w:rPr>
            <w:rFonts w:ascii="Cambria Math" w:hAnsi="Cambria Math"/>
            <w:lang w:eastAsia="pt-BR"/>
          </w:rPr>
          <m:t>γ</m:t>
        </m:r>
        <m:sSub>
          <m:sSubPr>
            <m:ctrlPr>
              <w:rPr>
                <w:rFonts w:ascii="Cambria Math" w:hAnsi="Cambria Math"/>
                <w:bCs/>
                <w:i/>
                <w:lang w:eastAsia="pt-BR"/>
              </w:rPr>
            </m:ctrlPr>
          </m:sSubPr>
          <m:e>
            <m:r>
              <m:rPr>
                <m:sty m:val="p"/>
              </m:rPr>
              <w:rPr>
                <w:rFonts w:ascii="Cambria Math" w:hAnsi="Cambria Math"/>
                <w:lang w:eastAsia="pt-BR"/>
              </w:rPr>
              <m:t>Z</m:t>
            </m:r>
          </m:e>
          <m:sub>
            <m:r>
              <m:rPr>
                <m:sty m:val="p"/>
              </m:rPr>
              <w:rPr>
                <w:rFonts w:ascii="Cambria Math" w:hAnsi="Cambria Math"/>
                <w:lang w:eastAsia="pt-BR"/>
              </w:rPr>
              <m:t>i</m:t>
            </m:r>
          </m:sub>
        </m:sSub>
      </m:oMath>
      <w:r w:rsidR="00095653" w:rsidRPr="00742642">
        <w:rPr>
          <w:bCs/>
          <w:i/>
          <w:lang w:eastAsia="pt-BR"/>
        </w:rPr>
        <w:instrText xml:space="preserve"> </w:instrText>
      </w:r>
      <w:r w:rsidR="00CA0964" w:rsidRPr="00742642">
        <w:rPr>
          <w:bCs/>
          <w:i/>
          <w:lang w:eastAsia="pt-BR"/>
        </w:rPr>
        <w:fldChar w:fldCharType="separate"/>
      </w:r>
      <w:proofErr w:type="spellStart"/>
      <w:r w:rsidR="00095653" w:rsidRPr="00742642">
        <w:rPr>
          <w:i/>
          <w:lang w:eastAsia="pt-BR"/>
        </w:rPr>
        <w:t>Zi</w:t>
      </w:r>
      <w:proofErr w:type="spellEnd"/>
      <w:r w:rsidR="00CA0964" w:rsidRPr="00742642">
        <w:rPr>
          <w:bCs/>
          <w:i/>
          <w:lang w:eastAsia="pt-BR"/>
        </w:rPr>
        <w:fldChar w:fldCharType="end"/>
      </w:r>
      <w:r w:rsidR="00095653" w:rsidRPr="00742642">
        <w:rPr>
          <w:bCs/>
          <w:i/>
          <w:lang w:eastAsia="pt-BR"/>
        </w:rPr>
        <w:t xml:space="preserve"> </w:t>
      </w:r>
      <w:r w:rsidRPr="00742642">
        <w:rPr>
          <w:bCs/>
          <w:lang w:eastAsia="pt-BR"/>
        </w:rPr>
        <w:t>é a</w:t>
      </w:r>
      <w:r w:rsidR="00095653" w:rsidRPr="00742642">
        <w:rPr>
          <w:bCs/>
          <w:lang w:eastAsia="pt-BR"/>
        </w:rPr>
        <w:t xml:space="preserve"> rotatividade </w:t>
      </w:r>
      <w:r w:rsidRPr="00742642">
        <w:rPr>
          <w:bCs/>
          <w:lang w:eastAsia="pt-BR"/>
        </w:rPr>
        <w:t xml:space="preserve">no emprego </w:t>
      </w:r>
      <w:r w:rsidR="00095653" w:rsidRPr="00742642">
        <w:rPr>
          <w:bCs/>
          <w:lang w:eastAsia="pt-BR"/>
        </w:rPr>
        <w:t>(quantidade de deslig</w:t>
      </w:r>
      <w:r w:rsidR="009E2E0E" w:rsidRPr="00742642">
        <w:rPr>
          <w:bCs/>
          <w:lang w:eastAsia="pt-BR"/>
        </w:rPr>
        <w:t>amentos acumulada no ano</w:t>
      </w:r>
      <w:r w:rsidR="00095653" w:rsidRPr="00742642">
        <w:rPr>
          <w:bCs/>
          <w:lang w:eastAsia="pt-BR"/>
        </w:rPr>
        <w:t>)</w:t>
      </w:r>
      <w:r w:rsidRPr="00742642">
        <w:rPr>
          <w:bCs/>
          <w:lang w:eastAsia="pt-BR"/>
        </w:rPr>
        <w:t xml:space="preserve">; e </w:t>
      </w:r>
      <m:oMath>
        <m:sSub>
          <m:sSubPr>
            <m:ctrlPr>
              <w:rPr>
                <w:rFonts w:ascii="Cambria Math" w:hAnsi="Cambria Math"/>
                <w:bCs/>
                <w:i/>
                <w:lang w:eastAsia="pt-BR"/>
              </w:rPr>
            </m:ctrlPr>
          </m:sSubPr>
          <m:e>
            <m:r>
              <w:rPr>
                <w:rFonts w:ascii="Cambria Math" w:hAnsi="Cambria Math"/>
                <w:lang w:eastAsia="pt-BR"/>
              </w:rPr>
              <m:t>ε</m:t>
            </m:r>
          </m:e>
          <m:sub>
            <m:r>
              <w:rPr>
                <w:rFonts w:ascii="Cambria Math" w:hAnsi="Cambria Math"/>
                <w:lang w:eastAsia="pt-BR"/>
              </w:rPr>
              <m:t>i</m:t>
            </m:r>
          </m:sub>
        </m:sSub>
      </m:oMath>
      <w:r w:rsidR="00095653" w:rsidRPr="00742642">
        <w:rPr>
          <w:bCs/>
          <w:lang w:eastAsia="pt-BR"/>
        </w:rPr>
        <w:t xml:space="preserve"> </w:t>
      </w:r>
      <w:r w:rsidRPr="00742642">
        <w:rPr>
          <w:bCs/>
          <w:lang w:eastAsia="pt-BR"/>
        </w:rPr>
        <w:t>é o</w:t>
      </w:r>
      <w:r w:rsidR="00095653" w:rsidRPr="00742642">
        <w:rPr>
          <w:bCs/>
          <w:lang w:eastAsia="pt-BR"/>
        </w:rPr>
        <w:t xml:space="preserve"> termo de erro aleatório.</w:t>
      </w:r>
    </w:p>
    <w:p w:rsidR="00075D58" w:rsidRPr="00742642" w:rsidRDefault="002E2921" w:rsidP="00742642">
      <w:pPr>
        <w:jc w:val="both"/>
        <w:rPr>
          <w:bCs/>
          <w:lang w:eastAsia="pt-BR"/>
        </w:rPr>
      </w:pPr>
      <w:r w:rsidRPr="00742642">
        <w:rPr>
          <w:bCs/>
          <w:lang w:eastAsia="pt-BR"/>
        </w:rPr>
        <w:lastRenderedPageBreak/>
        <w:tab/>
      </w:r>
      <w:r w:rsidR="002C586B" w:rsidRPr="00742642">
        <w:rPr>
          <w:bCs/>
          <w:lang w:eastAsia="pt-BR"/>
        </w:rPr>
        <w:t xml:space="preserve">As variáveis explicativas de idade, tempo no emprego e rotatividade foram elevadas a segunda potência com </w:t>
      </w:r>
      <w:r w:rsidR="000C7C3E" w:rsidRPr="00742642">
        <w:rPr>
          <w:bCs/>
          <w:lang w:eastAsia="pt-BR"/>
        </w:rPr>
        <w:t>o intuito</w:t>
      </w:r>
      <w:r w:rsidR="00551F15" w:rsidRPr="00742642">
        <w:rPr>
          <w:bCs/>
          <w:lang w:eastAsia="pt-BR"/>
        </w:rPr>
        <w:t xml:space="preserve"> de identificar o comportamento</w:t>
      </w:r>
      <w:r w:rsidR="00090CC1" w:rsidRPr="00742642">
        <w:rPr>
          <w:bCs/>
          <w:lang w:eastAsia="pt-BR"/>
        </w:rPr>
        <w:t xml:space="preserve"> de seus respectivos</w:t>
      </w:r>
      <w:r w:rsidR="002C586B" w:rsidRPr="00742642">
        <w:rPr>
          <w:bCs/>
          <w:lang w:eastAsia="pt-BR"/>
        </w:rPr>
        <w:t xml:space="preserve"> coeficientes quando os valores destas aumentam</w:t>
      </w:r>
      <w:r w:rsidR="00090CC1" w:rsidRPr="00742642">
        <w:rPr>
          <w:bCs/>
          <w:lang w:eastAsia="pt-BR"/>
        </w:rPr>
        <w:t xml:space="preserve"> </w:t>
      </w:r>
      <w:r w:rsidR="007406BD" w:rsidRPr="00742642">
        <w:rPr>
          <w:bCs/>
          <w:lang w:eastAsia="pt-BR"/>
        </w:rPr>
        <w:t>exponencialmente</w:t>
      </w:r>
      <w:r w:rsidR="002C586B" w:rsidRPr="00742642">
        <w:rPr>
          <w:bCs/>
          <w:lang w:eastAsia="pt-BR"/>
        </w:rPr>
        <w:t xml:space="preserve">. No caso da rotatividade, esse recurso se mostra necessário para </w:t>
      </w:r>
      <w:r w:rsidR="00090CC1" w:rsidRPr="00742642">
        <w:rPr>
          <w:bCs/>
          <w:lang w:eastAsia="pt-BR"/>
        </w:rPr>
        <w:t xml:space="preserve">analisar </w:t>
      </w:r>
      <w:r w:rsidR="002C586B" w:rsidRPr="00742642">
        <w:rPr>
          <w:bCs/>
          <w:lang w:eastAsia="pt-BR"/>
        </w:rPr>
        <w:t>as situações onde o indivíduo muda de emprego com mais frequência</w:t>
      </w:r>
      <w:r w:rsidR="00090CC1" w:rsidRPr="00742642">
        <w:rPr>
          <w:bCs/>
          <w:lang w:eastAsia="pt-BR"/>
        </w:rPr>
        <w:t xml:space="preserve">. </w:t>
      </w:r>
      <w:r w:rsidRPr="00742642">
        <w:rPr>
          <w:bCs/>
          <w:lang w:eastAsia="pt-BR"/>
        </w:rPr>
        <w:t>Convém enfatizar que os dados em painel</w:t>
      </w:r>
      <w:r w:rsidR="006B2D6D" w:rsidRPr="00742642">
        <w:rPr>
          <w:bCs/>
          <w:lang w:eastAsia="pt-BR"/>
        </w:rPr>
        <w:t>, além de reunir características de dados de séries temporais e cortes transversais, oferecem um respaldo estatístico para pesquisa cientifica com maior credibilidade</w:t>
      </w:r>
      <w:r w:rsidR="00E31BE7" w:rsidRPr="00742642">
        <w:rPr>
          <w:bCs/>
          <w:lang w:eastAsia="pt-BR"/>
        </w:rPr>
        <w:t>, sobretudo</w:t>
      </w:r>
      <w:r w:rsidR="006B2D6D" w:rsidRPr="00742642">
        <w:rPr>
          <w:bCs/>
          <w:lang w:eastAsia="pt-BR"/>
        </w:rPr>
        <w:t xml:space="preserve"> devido ao seu rigor metodológico.</w:t>
      </w:r>
      <w:r w:rsidR="00AC4327" w:rsidRPr="00742642">
        <w:rPr>
          <w:bCs/>
          <w:lang w:eastAsia="pt-BR"/>
        </w:rPr>
        <w:t xml:space="preserve"> </w:t>
      </w:r>
    </w:p>
    <w:p w:rsidR="00DA18B9" w:rsidRPr="00742642" w:rsidRDefault="00DA18B9" w:rsidP="00742642">
      <w:pPr>
        <w:jc w:val="both"/>
        <w:rPr>
          <w:b/>
          <w:lang w:eastAsia="pt-BR"/>
        </w:rPr>
      </w:pPr>
    </w:p>
    <w:p w:rsidR="00095653" w:rsidRPr="00742642" w:rsidRDefault="00A65FD7" w:rsidP="00742642">
      <w:pPr>
        <w:jc w:val="both"/>
        <w:rPr>
          <w:b/>
          <w:lang w:eastAsia="pt-BR"/>
        </w:rPr>
      </w:pPr>
      <w:r w:rsidRPr="00742642">
        <w:rPr>
          <w:b/>
          <w:lang w:eastAsia="pt-BR"/>
        </w:rPr>
        <w:t>5</w:t>
      </w:r>
      <w:r w:rsidR="00D205C6" w:rsidRPr="00742642">
        <w:rPr>
          <w:b/>
          <w:lang w:eastAsia="pt-BR"/>
        </w:rPr>
        <w:t xml:space="preserve">. </w:t>
      </w:r>
      <w:r w:rsidR="00095653" w:rsidRPr="00742642">
        <w:rPr>
          <w:b/>
          <w:lang w:eastAsia="pt-BR"/>
        </w:rPr>
        <w:t>RESULTADOS</w:t>
      </w:r>
    </w:p>
    <w:p w:rsidR="00095653" w:rsidRPr="00742642" w:rsidRDefault="00095653" w:rsidP="00742642">
      <w:pPr>
        <w:jc w:val="both"/>
        <w:rPr>
          <w:b/>
          <w:lang w:eastAsia="pt-BR"/>
        </w:rPr>
      </w:pPr>
    </w:p>
    <w:p w:rsidR="00095653" w:rsidRPr="00742642" w:rsidRDefault="00095653" w:rsidP="00742642">
      <w:pPr>
        <w:ind w:firstLine="708"/>
        <w:jc w:val="both"/>
        <w:rPr>
          <w:lang w:eastAsia="pt-BR"/>
        </w:rPr>
      </w:pPr>
      <w:r w:rsidRPr="00742642">
        <w:rPr>
          <w:lang w:eastAsia="pt-BR"/>
        </w:rPr>
        <w:t>Os resultados obtidos pela estimação do modelo log-</w:t>
      </w:r>
      <w:proofErr w:type="spellStart"/>
      <w:r w:rsidRPr="00742642">
        <w:rPr>
          <w:lang w:eastAsia="pt-BR"/>
        </w:rPr>
        <w:t>lin</w:t>
      </w:r>
      <w:proofErr w:type="spellEnd"/>
      <w:r w:rsidR="00E31BE7" w:rsidRPr="00742642">
        <w:rPr>
          <w:lang w:eastAsia="pt-BR"/>
        </w:rPr>
        <w:t xml:space="preserve"> por MQO e Efeitos Fixos</w:t>
      </w:r>
      <w:r w:rsidRPr="00742642">
        <w:rPr>
          <w:lang w:eastAsia="pt-BR"/>
        </w:rPr>
        <w:t xml:space="preserve"> encontram-se na </w:t>
      </w:r>
      <w:r w:rsidRPr="00742642">
        <w:rPr>
          <w:i/>
          <w:lang w:eastAsia="pt-BR"/>
        </w:rPr>
        <w:t>tabela 10</w:t>
      </w:r>
      <w:r w:rsidRPr="00742642">
        <w:rPr>
          <w:lang w:eastAsia="pt-BR"/>
        </w:rPr>
        <w:t xml:space="preserve">. </w:t>
      </w:r>
      <w:r w:rsidR="00FE6371" w:rsidRPr="00742642">
        <w:rPr>
          <w:lang w:eastAsia="pt-BR"/>
        </w:rPr>
        <w:t xml:space="preserve">No geral, os testes apontaram que os coeficientes obtidos (robustos) </w:t>
      </w:r>
      <w:r w:rsidRPr="00742642">
        <w:rPr>
          <w:lang w:eastAsia="pt-BR"/>
        </w:rPr>
        <w:t>são estatisticamente significantes e que o poder de ex</w:t>
      </w:r>
      <w:r w:rsidR="00FE6371" w:rsidRPr="00742642">
        <w:rPr>
          <w:lang w:eastAsia="pt-BR"/>
        </w:rPr>
        <w:t>plicação do teste (R²) foi de 96,15</w:t>
      </w:r>
      <w:r w:rsidRPr="00742642">
        <w:rPr>
          <w:lang w:eastAsia="pt-BR"/>
        </w:rPr>
        <w:t>%</w:t>
      </w:r>
      <w:r w:rsidR="00FE6371" w:rsidRPr="00742642">
        <w:rPr>
          <w:lang w:eastAsia="pt-BR"/>
        </w:rPr>
        <w:t>, para o método MQO, e de 94,87%, para o método de Efeitos Fixos</w:t>
      </w:r>
      <w:r w:rsidRPr="00742642">
        <w:rPr>
          <w:lang w:eastAsia="pt-BR"/>
        </w:rPr>
        <w:t xml:space="preserve">. </w:t>
      </w:r>
    </w:p>
    <w:p w:rsidR="00B83D61" w:rsidRPr="00742642" w:rsidRDefault="00B83D61" w:rsidP="00742642">
      <w:pPr>
        <w:jc w:val="both"/>
        <w:rPr>
          <w:lang w:eastAsia="pt-BR"/>
        </w:rPr>
      </w:pPr>
    </w:p>
    <w:p w:rsidR="00201691" w:rsidRPr="00742642" w:rsidRDefault="00095653" w:rsidP="00742642">
      <w:pPr>
        <w:jc w:val="both"/>
        <w:rPr>
          <w:lang w:eastAsia="pt-BR"/>
        </w:rPr>
      </w:pPr>
      <w:r w:rsidRPr="00742642">
        <w:rPr>
          <w:b/>
          <w:lang w:eastAsia="pt-BR"/>
        </w:rPr>
        <w:t>Tabela 10:</w:t>
      </w:r>
      <w:r w:rsidRPr="00742642">
        <w:rPr>
          <w:lang w:eastAsia="pt-BR"/>
        </w:rPr>
        <w:t xml:space="preserve"> Resultados obtidos </w:t>
      </w:r>
      <w:r w:rsidR="000E2D16" w:rsidRPr="00742642">
        <w:rPr>
          <w:lang w:eastAsia="pt-BR"/>
        </w:rPr>
        <w:t xml:space="preserve">pela estimação do </w:t>
      </w:r>
      <w:r w:rsidRPr="00742642">
        <w:rPr>
          <w:lang w:eastAsia="pt-BR"/>
        </w:rPr>
        <w:t xml:space="preserve">método </w:t>
      </w:r>
      <w:r w:rsidR="000E2D16" w:rsidRPr="00742642">
        <w:rPr>
          <w:lang w:eastAsia="pt-BR"/>
        </w:rPr>
        <w:t>MQO e Efeitos Fixos sobre o Modelo Log-</w:t>
      </w:r>
      <w:proofErr w:type="spellStart"/>
      <w:r w:rsidR="000E2D16" w:rsidRPr="00742642">
        <w:rPr>
          <w:lang w:eastAsia="pt-BR"/>
        </w:rPr>
        <w:t>lin</w:t>
      </w:r>
      <w:proofErr w:type="spellEnd"/>
      <w:r w:rsidR="000E2D16" w:rsidRPr="00742642">
        <w:rPr>
          <w:lang w:eastAsia="pt-BR"/>
        </w:rPr>
        <w:t xml:space="preserve"> – Variável dependente: logaritmo nat</w:t>
      </w:r>
      <w:r w:rsidR="002C674A" w:rsidRPr="00742642">
        <w:rPr>
          <w:lang w:eastAsia="pt-BR"/>
        </w:rPr>
        <w:t>ural da renda</w:t>
      </w:r>
      <w:r w:rsidR="000E2D16" w:rsidRPr="00742642">
        <w:rPr>
          <w:lang w:eastAsia="pt-BR"/>
        </w:rPr>
        <w:t>.</w:t>
      </w:r>
    </w:p>
    <w:p w:rsidR="00095653" w:rsidRPr="00742642" w:rsidRDefault="00480E4A" w:rsidP="00742642">
      <w:pPr>
        <w:rPr>
          <w:rFonts w:ascii="Georgia" w:hAnsi="Georgia" w:cs="Arial"/>
          <w:b/>
          <w:lang w:eastAsia="pt-BR"/>
        </w:rPr>
      </w:pPr>
      <w:r w:rsidRPr="00742642">
        <w:rPr>
          <w:rFonts w:ascii="Georgia" w:hAnsi="Georgia" w:cs="Arial"/>
          <w:b/>
          <w:lang w:eastAsia="pt-BR"/>
        </w:rPr>
        <w:object w:dxaOrig="9883" w:dyaOrig="8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62.75pt" o:ole="">
            <v:imagedata r:id="rId12" o:title=""/>
          </v:shape>
          <o:OLEObject Type="Embed" ProgID="Excel.Sheet.12" ShapeID="_x0000_i1025" DrawAspect="Content" ObjectID="_1590980179" r:id="rId13"/>
        </w:object>
      </w:r>
    </w:p>
    <w:p w:rsidR="00496A4E" w:rsidRPr="00742642" w:rsidRDefault="00496A4E" w:rsidP="00742642">
      <w:pPr>
        <w:jc w:val="both"/>
        <w:rPr>
          <w:rFonts w:ascii="Georgia" w:hAnsi="Georgia"/>
        </w:rPr>
      </w:pPr>
    </w:p>
    <w:p w:rsidR="00496A4E" w:rsidRPr="00742642" w:rsidRDefault="00201691" w:rsidP="00742642">
      <w:pPr>
        <w:jc w:val="both"/>
        <w:rPr>
          <w:rFonts w:ascii="Georgia" w:hAnsi="Georgia"/>
        </w:rPr>
      </w:pPr>
      <w:r w:rsidRPr="00742642">
        <w:rPr>
          <w:rFonts w:ascii="Georgia" w:hAnsi="Georgia"/>
        </w:rPr>
        <w:object w:dxaOrig="9883" w:dyaOrig="4911">
          <v:shape id="_x0000_i1026" type="#_x0000_t75" style="width:6in;height:243.75pt" o:ole="">
            <v:imagedata r:id="rId14" o:title=""/>
          </v:shape>
          <o:OLEObject Type="Embed" ProgID="Excel.Sheet.12" ShapeID="_x0000_i1026" DrawAspect="Content" ObjectID="_1590980180" r:id="rId15"/>
        </w:object>
      </w:r>
    </w:p>
    <w:p w:rsidR="00822A8D" w:rsidRPr="00742642" w:rsidRDefault="00822A8D" w:rsidP="00742642">
      <w:pPr>
        <w:ind w:firstLine="708"/>
        <w:jc w:val="both"/>
      </w:pPr>
    </w:p>
    <w:p w:rsidR="00095653" w:rsidRPr="00742642" w:rsidRDefault="0094775A" w:rsidP="00742642">
      <w:pPr>
        <w:ind w:firstLine="708"/>
        <w:jc w:val="both"/>
      </w:pPr>
      <w:r w:rsidRPr="00742642">
        <w:t xml:space="preserve">Por MQO </w:t>
      </w:r>
      <w:r w:rsidR="00B83D61" w:rsidRPr="00742642">
        <w:t>evidencia-se</w:t>
      </w:r>
      <w:r w:rsidRPr="00742642">
        <w:t xml:space="preserve"> que o coeficiente associado à rotativi</w:t>
      </w:r>
      <w:r w:rsidR="00AC75E5" w:rsidRPr="00742642">
        <w:t>dade (número de desligamentos) foi</w:t>
      </w:r>
      <w:r w:rsidRPr="00742642">
        <w:t xml:space="preserve"> estatisticamente significativo e positivo ao nível de 1% (0,2371). Alguns autores como BURDETT (1978) afirmam que esse resultado pode ser encarado como a necessidade que as pessoas possuem em buscar seu lugar no mercado, ou seja, como uma forma de ascensão profissional.</w:t>
      </w:r>
      <w:r w:rsidR="000E2D16" w:rsidRPr="00742642">
        <w:t xml:space="preserve"> O empregado, por exemplo, pode se desfazer do contrato de trabalho diante de uma alternativa ocupacional de melhor condição, que lhe proporcione um retorno salarial maior, justificando assim o parâmetro positivo.</w:t>
      </w:r>
      <w:r w:rsidRPr="00742642">
        <w:t xml:space="preserve"> </w:t>
      </w:r>
      <w:r w:rsidR="00095653" w:rsidRPr="00742642">
        <w:t xml:space="preserve">Já o coeficiente de desligamentos ao quadrado foi negativo e estatisticamente significante também a </w:t>
      </w:r>
      <w:r w:rsidRPr="00742642">
        <w:t>1</w:t>
      </w:r>
      <w:r w:rsidR="00095653" w:rsidRPr="00742642">
        <w:t>%</w:t>
      </w:r>
      <w:r w:rsidR="00AC75E5" w:rsidRPr="00742642">
        <w:t xml:space="preserve"> (-0,0330)</w:t>
      </w:r>
      <w:r w:rsidR="00095653" w:rsidRPr="00742642">
        <w:t>, indicando que</w:t>
      </w:r>
      <w:r w:rsidR="000E2D16" w:rsidRPr="00742642">
        <w:t xml:space="preserve"> os ganhos apesar de serem positivos crescem a taxas decrescentes, ou seja, o adicional no salário gerado por uma unidade de desligamento a mais é menor</w:t>
      </w:r>
      <w:r w:rsidR="00095653" w:rsidRPr="00742642">
        <w:t>. Do mesmo modo, na literatura também há concordância com esses resultados, pois segundo BLUMEN et al. (1955) os retornos da rotatividade do emprego são decrescentes.</w:t>
      </w:r>
    </w:p>
    <w:p w:rsidR="00075D58" w:rsidRPr="00742642" w:rsidRDefault="00994317" w:rsidP="00742642">
      <w:pPr>
        <w:ind w:firstLine="708"/>
        <w:jc w:val="both"/>
      </w:pPr>
      <w:r w:rsidRPr="00742642">
        <w:t>Ainda por MQO é possível perceber que o coeficiente de tempo no emprego (experiência) foi positivo e significante</w:t>
      </w:r>
      <w:r w:rsidR="00201691" w:rsidRPr="00742642">
        <w:t xml:space="preserve"> (0,0012)</w:t>
      </w:r>
      <w:r w:rsidRPr="00742642">
        <w:t>,</w:t>
      </w:r>
      <w:r w:rsidR="00075D58" w:rsidRPr="00742642">
        <w:t xml:space="preserve"> uma vez que o acúmulo de experiência amplia o domínio do trabalhador em relação à atividade por ele executada, permitindo-lhe efetuar tarefas de forma mais eficiente e produtiva. Resgatando-se o ideário de que </w:t>
      </w:r>
      <w:r w:rsidR="00831D2F" w:rsidRPr="00742642">
        <w:t xml:space="preserve">a </w:t>
      </w:r>
      <w:r w:rsidR="00075D58" w:rsidRPr="00742642">
        <w:t>Produtividade Marginal do Trabalho (</w:t>
      </w:r>
      <w:proofErr w:type="spellStart"/>
      <w:r w:rsidR="00075D58" w:rsidRPr="00742642">
        <w:t>PMgT</w:t>
      </w:r>
      <w:proofErr w:type="spellEnd"/>
      <w:r w:rsidR="00075D58" w:rsidRPr="00742642">
        <w:t>) gera reflexo nos salários, espera-se que o trabalhador mais experiente</w:t>
      </w:r>
      <w:r w:rsidR="00831D2F" w:rsidRPr="00742642">
        <w:t xml:space="preserve"> seja mais produtivo e receba melhores salários (Coelho; </w:t>
      </w:r>
      <w:proofErr w:type="spellStart"/>
      <w:r w:rsidR="00831D2F" w:rsidRPr="00742642">
        <w:t>Corseuil</w:t>
      </w:r>
      <w:proofErr w:type="spellEnd"/>
      <w:r w:rsidR="00831D2F" w:rsidRPr="00742642">
        <w:t>, 2002).</w:t>
      </w:r>
    </w:p>
    <w:p w:rsidR="00994317" w:rsidRPr="00742642" w:rsidRDefault="00994317" w:rsidP="00742642">
      <w:pPr>
        <w:ind w:firstLine="708"/>
        <w:jc w:val="both"/>
      </w:pPr>
      <w:r w:rsidRPr="00742642">
        <w:t xml:space="preserve"> </w:t>
      </w:r>
      <w:r w:rsidR="00831D2F" w:rsidRPr="00742642">
        <w:t>A</w:t>
      </w:r>
      <w:r w:rsidRPr="00742642">
        <w:t xml:space="preserve"> variável ao quadrado </w:t>
      </w:r>
      <w:r w:rsidR="00831D2F" w:rsidRPr="00742642">
        <w:t xml:space="preserve">do tempo no emprego, contudo, </w:t>
      </w:r>
      <w:r w:rsidRPr="00742642">
        <w:t>apresentou o sinal negativo</w:t>
      </w:r>
      <w:r w:rsidR="00201691" w:rsidRPr="00742642">
        <w:t xml:space="preserve"> (-4,33E-07)</w:t>
      </w:r>
      <w:r w:rsidRPr="00742642">
        <w:t xml:space="preserve">, </w:t>
      </w:r>
      <w:r w:rsidR="00CB3DF4" w:rsidRPr="00742642">
        <w:t>mostrando</w:t>
      </w:r>
      <w:r w:rsidRPr="00742642">
        <w:t xml:space="preserve"> que o retorno desta variável sobre os salários é decrescente</w:t>
      </w:r>
      <w:r w:rsidR="00831D2F" w:rsidRPr="00742642">
        <w:t xml:space="preserve">, ou seja, assim como o uso de uma unidade adicional de trabalho pode </w:t>
      </w:r>
      <w:r w:rsidR="00CB3DF4" w:rsidRPr="00742642">
        <w:t>fazer com que o nível de produção decline, uma unidade adicional de tempo no emprego pode ter efeitos decrescentes sobre os salários</w:t>
      </w:r>
      <w:r w:rsidRPr="00742642">
        <w:t xml:space="preserve">. </w:t>
      </w:r>
      <w:r w:rsidR="00263329" w:rsidRPr="00742642">
        <w:t xml:space="preserve">Segundo os trabalhos de </w:t>
      </w:r>
      <w:r w:rsidR="008C2F66" w:rsidRPr="00742642">
        <w:t>Coelho e</w:t>
      </w:r>
      <w:r w:rsidR="00263329" w:rsidRPr="00742642">
        <w:t xml:space="preserve"> </w:t>
      </w:r>
      <w:proofErr w:type="spellStart"/>
      <w:r w:rsidR="00263329" w:rsidRPr="00742642">
        <w:t>Corseuil</w:t>
      </w:r>
      <w:proofErr w:type="spellEnd"/>
      <w:r w:rsidR="00263329" w:rsidRPr="00742642">
        <w:t xml:space="preserve"> (2002) se confirmam o padrão de retornos decrescentes da experiência sobre os salários.</w:t>
      </w:r>
    </w:p>
    <w:p w:rsidR="00095653" w:rsidRPr="00742642" w:rsidRDefault="00095653" w:rsidP="00742642">
      <w:pPr>
        <w:ind w:firstLine="708"/>
        <w:jc w:val="both"/>
      </w:pPr>
      <w:r w:rsidRPr="00742642">
        <w:t>Com rel</w:t>
      </w:r>
      <w:r w:rsidR="00AC75E5" w:rsidRPr="00742642">
        <w:t>ação à e</w:t>
      </w:r>
      <w:r w:rsidR="00BE725B" w:rsidRPr="00742642">
        <w:t>scolaridade</w:t>
      </w:r>
      <w:r w:rsidR="00994317" w:rsidRPr="00742642">
        <w:t xml:space="preserve"> observa</w:t>
      </w:r>
      <w:r w:rsidR="00AC75E5" w:rsidRPr="00742642">
        <w:t xml:space="preserve">-se </w:t>
      </w:r>
      <w:r w:rsidRPr="00742642">
        <w:t>que o trabalhador com ensino superior completo ganhou, em média, 8</w:t>
      </w:r>
      <w:r w:rsidR="0094775A" w:rsidRPr="00742642">
        <w:t>1</w:t>
      </w:r>
      <w:r w:rsidRPr="00742642">
        <w:t>,</w:t>
      </w:r>
      <w:r w:rsidR="0094775A" w:rsidRPr="00742642">
        <w:t>47</w:t>
      </w:r>
      <w:r w:rsidRPr="00742642">
        <w:t>% a mais que u</w:t>
      </w:r>
      <w:r w:rsidR="00AC75E5" w:rsidRPr="00742642">
        <w:t xml:space="preserve">m </w:t>
      </w:r>
      <w:r w:rsidR="00D121FF" w:rsidRPr="00742642">
        <w:t>trabalhador analfabeto. Esse resultado evidencia as profundas diferenças salariais entre os indivíduos com maior e menor grau de instrução.</w:t>
      </w:r>
    </w:p>
    <w:p w:rsidR="00095653" w:rsidRPr="00742642" w:rsidRDefault="00095653" w:rsidP="00742642">
      <w:pPr>
        <w:ind w:firstLine="708"/>
        <w:jc w:val="both"/>
      </w:pPr>
      <w:r w:rsidRPr="00742642">
        <w:t xml:space="preserve">Em termos de setor de atividade, </w:t>
      </w:r>
      <w:r w:rsidR="00996C35" w:rsidRPr="00742642">
        <w:t>as melhores vantagens salariais fica</w:t>
      </w:r>
      <w:r w:rsidR="006F2BD0" w:rsidRPr="00742642">
        <w:t>ram com os trabalhadores empregado</w:t>
      </w:r>
      <w:r w:rsidR="00996C35" w:rsidRPr="00742642">
        <w:t>s nos</w:t>
      </w:r>
      <w:r w:rsidRPr="00742642">
        <w:t xml:space="preserve"> Serviços Industriais</w:t>
      </w:r>
      <w:r w:rsidR="00996C35" w:rsidRPr="00742642">
        <w:t xml:space="preserve"> de Utilidade Pública (SIUP)</w:t>
      </w:r>
      <w:r w:rsidRPr="00742642">
        <w:t xml:space="preserve">. Já os trabalhadores que obtiveram menores ganhos foram </w:t>
      </w:r>
      <w:r w:rsidR="006F2BD0" w:rsidRPr="00742642">
        <w:t>àqueles</w:t>
      </w:r>
      <w:r w:rsidRPr="00742642">
        <w:t xml:space="preserve"> </w:t>
      </w:r>
      <w:r w:rsidR="006F2BD0" w:rsidRPr="00742642">
        <w:t>empregados n</w:t>
      </w:r>
      <w:r w:rsidRPr="00742642">
        <w:t xml:space="preserve">o setor </w:t>
      </w:r>
      <w:r w:rsidR="00D121FF" w:rsidRPr="00742642">
        <w:t xml:space="preserve">de Extração </w:t>
      </w:r>
      <w:r w:rsidR="00D121FF" w:rsidRPr="00742642">
        <w:lastRenderedPageBreak/>
        <w:t>Mineral e Agropecuária</w:t>
      </w:r>
      <w:r w:rsidRPr="00742642">
        <w:t>. Sobre a indústria de transformação, foi possível perceber uma melhora nos ganhos salariais</w:t>
      </w:r>
      <w:r w:rsidR="006F2BD0" w:rsidRPr="00742642">
        <w:t>, com um coeficiente relativamente alto e significante (0,256)</w:t>
      </w:r>
      <w:r w:rsidRPr="00742642">
        <w:t>.</w:t>
      </w:r>
    </w:p>
    <w:p w:rsidR="00D121FF" w:rsidRPr="00742642" w:rsidRDefault="00E93069" w:rsidP="00742642">
      <w:pPr>
        <w:ind w:firstLine="708"/>
        <w:jc w:val="both"/>
        <w:rPr>
          <w:bCs/>
        </w:rPr>
      </w:pPr>
      <w:r w:rsidRPr="00742642">
        <w:rPr>
          <w:bCs/>
        </w:rPr>
        <w:t>O modelo de efeitos fixos corrobora com boa parte dos resultados encontrados por MQO.</w:t>
      </w:r>
      <w:r w:rsidR="00D121FF" w:rsidRPr="00742642">
        <w:rPr>
          <w:bCs/>
        </w:rPr>
        <w:t xml:space="preserve"> </w:t>
      </w:r>
      <w:r w:rsidRPr="00742642">
        <w:rPr>
          <w:bCs/>
        </w:rPr>
        <w:t>O</w:t>
      </w:r>
      <w:r w:rsidR="007802A4" w:rsidRPr="00742642">
        <w:rPr>
          <w:bCs/>
        </w:rPr>
        <w:t xml:space="preserve"> coeficiente de rotatividade também apresentou-se positivo e estatisticamente significante a 1% (0,1244). Entretanto, o coeficiente quadrático da rotatividade apesar de manter-se negativo (-0,0174) não apresentou significância</w:t>
      </w:r>
      <w:r w:rsidR="00BE725B" w:rsidRPr="00742642">
        <w:rPr>
          <w:bCs/>
        </w:rPr>
        <w:t>, ou seja, com controle das características não observáveis do trabalhador a quantidade de desligamentos</w:t>
      </w:r>
      <w:r w:rsidR="00DC7ECB" w:rsidRPr="00742642">
        <w:rPr>
          <w:bCs/>
        </w:rPr>
        <w:t xml:space="preserve"> ao quadrado não revela retornos decrescentes</w:t>
      </w:r>
      <w:r w:rsidR="00BE725B" w:rsidRPr="00742642">
        <w:rPr>
          <w:bCs/>
        </w:rPr>
        <w:t xml:space="preserve"> sobre os salários. </w:t>
      </w:r>
    </w:p>
    <w:p w:rsidR="00996C35" w:rsidRPr="00742642" w:rsidRDefault="006F2BD0" w:rsidP="00742642">
      <w:pPr>
        <w:ind w:firstLine="708"/>
        <w:jc w:val="both"/>
        <w:rPr>
          <w:bCs/>
        </w:rPr>
      </w:pPr>
      <w:r w:rsidRPr="00742642">
        <w:rPr>
          <w:bCs/>
        </w:rPr>
        <w:t>O coeficiente de tempo no emprego apresentou-se positivo e significante, assim como o parâmetro do tempo no emprego ao quadrado, contrariando os resultados obtidos por MQO. Nesse caso, o pressuposto de que existem retornos decrescentes da experiência sobre os salários deixa de existir no modelo de efeitos fixos.</w:t>
      </w:r>
    </w:p>
    <w:p w:rsidR="00095653" w:rsidRPr="00742642" w:rsidRDefault="006F2BD0" w:rsidP="00742642">
      <w:pPr>
        <w:ind w:firstLine="708"/>
        <w:jc w:val="both"/>
        <w:rPr>
          <w:bCs/>
        </w:rPr>
      </w:pPr>
      <w:r w:rsidRPr="00742642">
        <w:rPr>
          <w:bCs/>
        </w:rPr>
        <w:t xml:space="preserve">Por fim, em termos de setor de atividade, as melhores vantagens salariais ficaram com os trabalhadores empregados no setor agropecuário, resultado este que também divergiu do modelo anterior. </w:t>
      </w:r>
      <w:r w:rsidR="00095653" w:rsidRPr="00742642">
        <w:rPr>
          <w:bCs/>
        </w:rPr>
        <w:t>Infere-se desses resultados, portanto,</w:t>
      </w:r>
      <w:r w:rsidR="00BE725B" w:rsidRPr="00742642">
        <w:rPr>
          <w:bCs/>
        </w:rPr>
        <w:t xml:space="preserve"> que</w:t>
      </w:r>
      <w:r w:rsidR="002E06E4" w:rsidRPr="00742642">
        <w:rPr>
          <w:bCs/>
        </w:rPr>
        <w:t xml:space="preserve"> a premissa de os retornos da rotatividade sobre os salários é decrescente </w:t>
      </w:r>
      <w:r w:rsidR="00BE725B" w:rsidRPr="00742642">
        <w:t xml:space="preserve">se aplica </w:t>
      </w:r>
      <w:r w:rsidR="002E06E4" w:rsidRPr="00742642">
        <w:t>apenas nos casos aonde não há controle das características não observáveis do trabalhador</w:t>
      </w:r>
      <w:r w:rsidR="00996C35" w:rsidRPr="00742642">
        <w:t xml:space="preserve">, </w:t>
      </w:r>
      <w:r w:rsidR="00EA7063" w:rsidRPr="00742642">
        <w:t xml:space="preserve">tendo como base </w:t>
      </w:r>
      <w:r w:rsidR="00996C35" w:rsidRPr="00742642">
        <w:t>a amostra em questão</w:t>
      </w:r>
      <w:r w:rsidR="00EA7063" w:rsidRPr="00742642">
        <w:t>, no caso, o Mercado de Trabalho do Agreste Pernambucano</w:t>
      </w:r>
      <w:r w:rsidR="002E06E4" w:rsidRPr="00742642">
        <w:t xml:space="preserve">. </w:t>
      </w:r>
    </w:p>
    <w:p w:rsidR="00095653" w:rsidRPr="00742642" w:rsidRDefault="00095653" w:rsidP="00742642">
      <w:pPr>
        <w:ind w:firstLine="708"/>
        <w:jc w:val="both"/>
      </w:pPr>
    </w:p>
    <w:p w:rsidR="00095653" w:rsidRPr="00742642" w:rsidRDefault="00A65FD7" w:rsidP="00742642">
      <w:pPr>
        <w:jc w:val="both"/>
        <w:rPr>
          <w:b/>
        </w:rPr>
      </w:pPr>
      <w:r w:rsidRPr="00742642">
        <w:rPr>
          <w:b/>
        </w:rPr>
        <w:t>6</w:t>
      </w:r>
      <w:r w:rsidR="00095653" w:rsidRPr="00742642">
        <w:rPr>
          <w:b/>
        </w:rPr>
        <w:t>. CONCLUSÃO</w:t>
      </w:r>
    </w:p>
    <w:p w:rsidR="00095653" w:rsidRPr="00742642" w:rsidRDefault="00095653" w:rsidP="00742642">
      <w:pPr>
        <w:ind w:firstLine="709"/>
        <w:jc w:val="both"/>
        <w:rPr>
          <w:b/>
        </w:rPr>
      </w:pPr>
    </w:p>
    <w:p w:rsidR="00BC2D37" w:rsidRPr="00742642" w:rsidRDefault="00095653" w:rsidP="00742642">
      <w:pPr>
        <w:ind w:firstLine="708"/>
        <w:jc w:val="both"/>
      </w:pPr>
      <w:r w:rsidRPr="00742642">
        <w:t>O objetivo do trabalho foi mostra</w:t>
      </w:r>
      <w:r w:rsidR="00BC2D37" w:rsidRPr="00742642">
        <w:t>r evidências</w:t>
      </w:r>
      <w:r w:rsidRPr="00742642">
        <w:t xml:space="preserve"> </w:t>
      </w:r>
      <w:r w:rsidR="00BC2D37" w:rsidRPr="00742642">
        <w:t>d</w:t>
      </w:r>
      <w:r w:rsidRPr="00742642">
        <w:t>os impactos da rotatividade</w:t>
      </w:r>
      <w:r w:rsidR="00FA2169" w:rsidRPr="00742642">
        <w:t xml:space="preserve"> – </w:t>
      </w:r>
      <w:r w:rsidR="008C476F" w:rsidRPr="00742642">
        <w:t>com controles para características dos trabalhadores e de seu vínculo variantes no tempo e das suas características não observáveis</w:t>
      </w:r>
      <w:r w:rsidR="00FA2169" w:rsidRPr="00742642">
        <w:t xml:space="preserve"> e fixas – </w:t>
      </w:r>
      <w:r w:rsidRPr="00742642">
        <w:t xml:space="preserve"> sobre os salários </w:t>
      </w:r>
      <w:r w:rsidR="00B83D61" w:rsidRPr="00742642">
        <w:t xml:space="preserve">dos trabalhadores </w:t>
      </w:r>
      <w:r w:rsidR="00EE65E9" w:rsidRPr="00742642">
        <w:t>d</w:t>
      </w:r>
      <w:r w:rsidRPr="00742642">
        <w:t>a região Agreste de Pernambuco.</w:t>
      </w:r>
      <w:r w:rsidR="00BC2D37" w:rsidRPr="00742642">
        <w:t xml:space="preserve"> Para tanto, dois modelos de regressão foram estimados, por MQO e com Efeito fixo do trabalhador, a partir dos dados da RAISMIGRA para os anos de 1995, 2000 e 2008.</w:t>
      </w:r>
    </w:p>
    <w:p w:rsidR="00844F3F" w:rsidRPr="00742642" w:rsidRDefault="00095653" w:rsidP="00742642">
      <w:pPr>
        <w:ind w:firstLine="708"/>
        <w:jc w:val="both"/>
      </w:pPr>
      <w:r w:rsidRPr="00742642">
        <w:t>O</w:t>
      </w:r>
      <w:r w:rsidR="00FA2169" w:rsidRPr="00742642">
        <w:t xml:space="preserve">s resultados apontaram que </w:t>
      </w:r>
      <w:r w:rsidRPr="00742642">
        <w:t>a mobilidade do emprego pode ser positiva,</w:t>
      </w:r>
      <w:r w:rsidR="001D62BD" w:rsidRPr="00742642">
        <w:t xml:space="preserve"> </w:t>
      </w:r>
      <w:r w:rsidRPr="00742642">
        <w:t xml:space="preserve">uma vez que os retornos da rotatividade </w:t>
      </w:r>
      <w:r w:rsidR="00D05BF0" w:rsidRPr="00742642">
        <w:t xml:space="preserve">incrementam o salário. Porém, </w:t>
      </w:r>
      <w:r w:rsidRPr="00742642">
        <w:t>a rotatividade</w:t>
      </w:r>
      <w:r w:rsidR="001D62BD" w:rsidRPr="00742642">
        <w:t xml:space="preserve"> do trabalho</w:t>
      </w:r>
      <w:r w:rsidRPr="00742642">
        <w:t xml:space="preserve"> pode gerar reações adversas no mercado</w:t>
      </w:r>
      <w:r w:rsidR="00DF0B37" w:rsidRPr="00742642">
        <w:t xml:space="preserve"> de trabalho</w:t>
      </w:r>
      <w:r w:rsidRPr="00742642">
        <w:t>, c</w:t>
      </w:r>
      <w:r w:rsidR="001D62BD" w:rsidRPr="00742642">
        <w:t>aso est</w:t>
      </w:r>
      <w:r w:rsidR="006F6E83" w:rsidRPr="00742642">
        <w:t>e</w:t>
      </w:r>
      <w:r w:rsidR="001D62BD" w:rsidRPr="00742642">
        <w:t xml:space="preserve"> seja o resultado</w:t>
      </w:r>
      <w:r w:rsidR="00DE324D" w:rsidRPr="00742642">
        <w:t>, exclusivamente,</w:t>
      </w:r>
      <w:r w:rsidR="001D62BD" w:rsidRPr="00742642">
        <w:t xml:space="preserve"> d</w:t>
      </w:r>
      <w:r w:rsidR="00653D5A" w:rsidRPr="00742642">
        <w:t xml:space="preserve">a possibilidade do trabalhador obter </w:t>
      </w:r>
      <w:r w:rsidR="001D62BD" w:rsidRPr="00742642">
        <w:t>ganhos financeiros</w:t>
      </w:r>
      <w:r w:rsidR="00B503E0" w:rsidRPr="00742642">
        <w:t>, como seguro desemprego,</w:t>
      </w:r>
      <w:r w:rsidR="001D62BD" w:rsidRPr="00742642">
        <w:t xml:space="preserve"> </w:t>
      </w:r>
      <w:r w:rsidR="00DE324D" w:rsidRPr="00742642">
        <w:t>ao</w:t>
      </w:r>
      <w:r w:rsidR="001D62BD" w:rsidRPr="00742642">
        <w:t xml:space="preserve"> muda</w:t>
      </w:r>
      <w:r w:rsidR="00DE324D" w:rsidRPr="00742642">
        <w:t>r</w:t>
      </w:r>
      <w:r w:rsidR="001D62BD" w:rsidRPr="00742642">
        <w:t xml:space="preserve"> de vínculo</w:t>
      </w:r>
      <w:r w:rsidR="00653D5A" w:rsidRPr="00742642">
        <w:t>.</w:t>
      </w:r>
      <w:r w:rsidR="00B503E0" w:rsidRPr="00742642">
        <w:t xml:space="preserve"> </w:t>
      </w:r>
      <w:r w:rsidR="00B44E08" w:rsidRPr="00742642">
        <w:t>Uma situação como esta possivelmente levaria a uma</w:t>
      </w:r>
      <w:r w:rsidR="00B503E0" w:rsidRPr="00742642">
        <w:t xml:space="preserve"> </w:t>
      </w:r>
      <w:r w:rsidRPr="00742642">
        <w:t>redução do investimento em treinamento</w:t>
      </w:r>
      <w:r w:rsidR="00DE324D" w:rsidRPr="00742642">
        <w:t>s/qualificação dos trabalhadores</w:t>
      </w:r>
      <w:r w:rsidRPr="00742642">
        <w:t xml:space="preserve"> por parte das empresas</w:t>
      </w:r>
      <w:r w:rsidR="00B44E08" w:rsidRPr="00742642">
        <w:t>,</w:t>
      </w:r>
      <w:r w:rsidRPr="00742642">
        <w:t xml:space="preserve"> e </w:t>
      </w:r>
      <w:r w:rsidR="00B503E0" w:rsidRPr="00742642">
        <w:t>aumento d</w:t>
      </w:r>
      <w:r w:rsidRPr="00742642">
        <w:t>o</w:t>
      </w:r>
      <w:r w:rsidR="00B503E0" w:rsidRPr="00742642">
        <w:t>s</w:t>
      </w:r>
      <w:r w:rsidRPr="00742642">
        <w:t xml:space="preserve"> incentivo</w:t>
      </w:r>
      <w:r w:rsidR="00B503E0" w:rsidRPr="00742642">
        <w:t>s</w:t>
      </w:r>
      <w:r w:rsidRPr="00742642">
        <w:t xml:space="preserve"> a informalidade em virtude das despesas que as firmas t</w:t>
      </w:r>
      <w:r w:rsidR="00B44E08" w:rsidRPr="00742642">
        <w:t>eriam</w:t>
      </w:r>
      <w:r w:rsidRPr="00742642">
        <w:t xml:space="preserve"> ao demitir</w:t>
      </w:r>
      <w:r w:rsidR="00B503E0" w:rsidRPr="00742642">
        <w:t xml:space="preserve"> seus funcionários</w:t>
      </w:r>
      <w:r w:rsidRPr="00742642">
        <w:t>.</w:t>
      </w:r>
      <w:r w:rsidR="00B503E0" w:rsidRPr="00742642">
        <w:t xml:space="preserve"> Por outro lado, </w:t>
      </w:r>
      <w:r w:rsidR="00787FA1" w:rsidRPr="00742642">
        <w:t xml:space="preserve">como a mudança de emprego, para a amostra analisada, </w:t>
      </w:r>
      <w:r w:rsidR="00B44E08" w:rsidRPr="00742642">
        <w:t>é</w:t>
      </w:r>
      <w:r w:rsidR="00787FA1" w:rsidRPr="00742642">
        <w:t xml:space="preserve"> positivamente correlacionada com o salário, indicador da produtividade do trabalhador, estes resultados são coerentes com a situação em que houve melhoria na alocação do trabalho. </w:t>
      </w:r>
    </w:p>
    <w:p w:rsidR="00095653" w:rsidRPr="00742642" w:rsidRDefault="00095653" w:rsidP="00742642">
      <w:pPr>
        <w:ind w:firstLine="708"/>
        <w:jc w:val="both"/>
      </w:pPr>
      <w:r w:rsidRPr="00742642">
        <w:t xml:space="preserve">No agreste de Pernambuco, onde a indústria de transformação possui </w:t>
      </w:r>
      <w:r w:rsidR="00844F3F" w:rsidRPr="00742642">
        <w:t xml:space="preserve">uma </w:t>
      </w:r>
      <w:r w:rsidRPr="00742642">
        <w:t>significativ</w:t>
      </w:r>
      <w:r w:rsidR="00844F3F" w:rsidRPr="00742642">
        <w:t>a</w:t>
      </w:r>
      <w:r w:rsidRPr="00742642">
        <w:t xml:space="preserve"> </w:t>
      </w:r>
      <w:r w:rsidR="00844F3F" w:rsidRPr="00742642">
        <w:t>importância econômica</w:t>
      </w:r>
      <w:r w:rsidRPr="00742642">
        <w:t xml:space="preserve">, o reflexo da mobilidade do emprego se encontra no baixo grau de instrução da mão-de-obra ocupada, constituída principalmente </w:t>
      </w:r>
      <w:r w:rsidR="00844F3F" w:rsidRPr="00742642">
        <w:t>por</w:t>
      </w:r>
      <w:r w:rsidRPr="00742642">
        <w:t xml:space="preserve"> mulheres, cujo nível de escolaridade atinge, em sua maioria, apenas o ensino médio completo. Contudo, </w:t>
      </w:r>
      <w:r w:rsidR="00DE324D" w:rsidRPr="00742642">
        <w:t xml:space="preserve">foi </w:t>
      </w:r>
      <w:r w:rsidRPr="00742642">
        <w:t>verifica</w:t>
      </w:r>
      <w:r w:rsidR="00DE324D" w:rsidRPr="00742642">
        <w:t>do</w:t>
      </w:r>
      <w:r w:rsidRPr="00742642">
        <w:t xml:space="preserve"> que o tempo de permanência no emprego para o segmento têxtil e de confecções </w:t>
      </w:r>
      <w:r w:rsidR="00844F3F" w:rsidRPr="00742642">
        <w:t xml:space="preserve">está </w:t>
      </w:r>
      <w:r w:rsidR="00756813" w:rsidRPr="00742642">
        <w:t>acima</w:t>
      </w:r>
      <w:r w:rsidR="00844F3F" w:rsidRPr="00742642">
        <w:t xml:space="preserve"> da média registrada para a indústria da transformação</w:t>
      </w:r>
      <w:r w:rsidR="00756813" w:rsidRPr="00742642">
        <w:t xml:space="preserve">, na faixa de </w:t>
      </w:r>
      <w:r w:rsidR="00DE4009" w:rsidRPr="00742642">
        <w:t>2</w:t>
      </w:r>
      <w:r w:rsidRPr="00742642">
        <w:t xml:space="preserve"> a</w:t>
      </w:r>
      <w:r w:rsidR="00DE4009" w:rsidRPr="00742642">
        <w:t xml:space="preserve"> 5</w:t>
      </w:r>
      <w:r w:rsidRPr="00742642">
        <w:t xml:space="preserve"> anos</w:t>
      </w:r>
      <w:r w:rsidR="00756813" w:rsidRPr="00742642">
        <w:t xml:space="preserve">. </w:t>
      </w:r>
      <w:r w:rsidRPr="00742642">
        <w:t>Outr</w:t>
      </w:r>
      <w:r w:rsidR="00756813" w:rsidRPr="00742642">
        <w:t>a</w:t>
      </w:r>
      <w:r w:rsidRPr="00742642">
        <w:t xml:space="preserve"> </w:t>
      </w:r>
      <w:r w:rsidR="00756813" w:rsidRPr="00742642">
        <w:t xml:space="preserve">evidência que merece ser destacada é a </w:t>
      </w:r>
      <w:r w:rsidRPr="00742642">
        <w:t xml:space="preserve">baixa remuneração apresentada </w:t>
      </w:r>
      <w:r w:rsidR="00756813" w:rsidRPr="00742642">
        <w:t>pela</w:t>
      </w:r>
      <w:r w:rsidRPr="00742642">
        <w:t xml:space="preserve"> indústria d</w:t>
      </w:r>
      <w:r w:rsidR="001B7D83" w:rsidRPr="00742642">
        <w:t>a</w:t>
      </w:r>
      <w:r w:rsidRPr="00742642">
        <w:t xml:space="preserve"> transformação</w:t>
      </w:r>
      <w:r w:rsidR="001B7D83" w:rsidRPr="00742642">
        <w:t>,</w:t>
      </w:r>
      <w:r w:rsidRPr="00742642">
        <w:t xml:space="preserve"> quando comparada a </w:t>
      </w:r>
      <w:r w:rsidR="00756813" w:rsidRPr="00742642">
        <w:t xml:space="preserve">outros </w:t>
      </w:r>
      <w:r w:rsidRPr="00742642">
        <w:t xml:space="preserve">setores como </w:t>
      </w:r>
      <w:r w:rsidR="00756813" w:rsidRPr="00742642">
        <w:t xml:space="preserve">o da </w:t>
      </w:r>
      <w:r w:rsidRPr="00742642">
        <w:t>construção civil ou serviços.</w:t>
      </w:r>
      <w:r w:rsidR="00BC2D37" w:rsidRPr="00742642">
        <w:t xml:space="preserve"> </w:t>
      </w:r>
    </w:p>
    <w:p w:rsidR="00095653" w:rsidRPr="00742642" w:rsidRDefault="000E750F" w:rsidP="00742642">
      <w:pPr>
        <w:ind w:firstLine="708"/>
        <w:jc w:val="both"/>
      </w:pPr>
      <w:r w:rsidRPr="00742642">
        <w:t>Embora tenha-se verificado que as indústrias têxtil e de confecção apresentam uma taxa de desligamento do trabalho abaixo da média de todas as indústrias,</w:t>
      </w:r>
      <w:r w:rsidR="00995000" w:rsidRPr="00742642">
        <w:t xml:space="preserve"> d</w:t>
      </w:r>
      <w:r w:rsidR="0056099B" w:rsidRPr="00742642">
        <w:t xml:space="preserve">ado </w:t>
      </w:r>
      <w:r w:rsidR="00095653" w:rsidRPr="00742642">
        <w:t xml:space="preserve">o grau de informalidade </w:t>
      </w:r>
      <w:r w:rsidR="0056099B" w:rsidRPr="00742642">
        <w:t xml:space="preserve">registrada </w:t>
      </w:r>
      <w:r w:rsidR="00095653" w:rsidRPr="00742642">
        <w:t xml:space="preserve">na região </w:t>
      </w:r>
      <w:r w:rsidR="0056099B" w:rsidRPr="00742642">
        <w:t xml:space="preserve">em estudo, além da baixa qualificação da sua mão-de-obra, </w:t>
      </w:r>
      <w:r w:rsidR="00B974C3" w:rsidRPr="00742642">
        <w:t>acredita-se que esta precariedade nas relações de trabalh</w:t>
      </w:r>
      <w:r w:rsidR="00237ABB" w:rsidRPr="00742642">
        <w:t xml:space="preserve">o, </w:t>
      </w:r>
      <w:r w:rsidR="00BB2825" w:rsidRPr="00742642">
        <w:t xml:space="preserve">em parte, </w:t>
      </w:r>
      <w:r w:rsidR="00237ABB" w:rsidRPr="00742642">
        <w:t>seja fruto dos custos financeiros</w:t>
      </w:r>
      <w:r w:rsidR="00B6456D" w:rsidRPr="00742642">
        <w:t xml:space="preserve"> gerados para as empresas</w:t>
      </w:r>
      <w:r w:rsidR="00237ABB" w:rsidRPr="00742642">
        <w:t xml:space="preserve">, tanto </w:t>
      </w:r>
      <w:r w:rsidR="00B6456D" w:rsidRPr="00742642">
        <w:t>para</w:t>
      </w:r>
      <w:r w:rsidR="00237ABB" w:rsidRPr="00742642">
        <w:t xml:space="preserve"> registr</w:t>
      </w:r>
      <w:r w:rsidR="00B6456D" w:rsidRPr="00742642">
        <w:t>ar</w:t>
      </w:r>
      <w:r w:rsidR="00237ABB" w:rsidRPr="00742642">
        <w:t xml:space="preserve"> os trabalhadores</w:t>
      </w:r>
      <w:r w:rsidR="00B6456D" w:rsidRPr="00742642">
        <w:t>,</w:t>
      </w:r>
      <w:r w:rsidR="00237ABB" w:rsidRPr="00742642">
        <w:t xml:space="preserve"> quanto </w:t>
      </w:r>
      <w:r w:rsidR="00B6456D" w:rsidRPr="00742642">
        <w:t>para desliga-los.</w:t>
      </w:r>
      <w:r w:rsidR="00A17105" w:rsidRPr="00742642">
        <w:t xml:space="preserve"> Este torna-se um problema para expansão do setor na região, na medida em que há um</w:t>
      </w:r>
      <w:r w:rsidR="00DE324D" w:rsidRPr="00742642">
        <w:t>a</w:t>
      </w:r>
      <w:r w:rsidR="00A17105" w:rsidRPr="00742642">
        <w:t xml:space="preserve"> </w:t>
      </w:r>
      <w:r w:rsidR="00A17105" w:rsidRPr="00742642">
        <w:lastRenderedPageBreak/>
        <w:t xml:space="preserve">perda de receita tributária por parte do setor púbico, que é apropriada pelas setor privado, </w:t>
      </w:r>
      <w:r w:rsidR="00DE324D" w:rsidRPr="00742642">
        <w:t xml:space="preserve">que </w:t>
      </w:r>
      <w:r w:rsidR="00A17105" w:rsidRPr="00742642">
        <w:t xml:space="preserve">poderia </w:t>
      </w:r>
      <w:r w:rsidR="00BB2825" w:rsidRPr="00742642">
        <w:t>está</w:t>
      </w:r>
      <w:r w:rsidR="00A17105" w:rsidRPr="00742642">
        <w:t xml:space="preserve"> sendo </w:t>
      </w:r>
      <w:r w:rsidR="00DE324D" w:rsidRPr="00742642">
        <w:t>aplicada em melhorias para o próprio setor.</w:t>
      </w:r>
      <w:r w:rsidR="00A17105" w:rsidRPr="00742642">
        <w:t xml:space="preserve"> </w:t>
      </w:r>
      <w:r w:rsidR="00B6456D" w:rsidRPr="00742642">
        <w:t xml:space="preserve"> </w:t>
      </w:r>
      <w:r w:rsidR="00237ABB" w:rsidRPr="00742642">
        <w:t xml:space="preserve"> </w:t>
      </w:r>
    </w:p>
    <w:p w:rsidR="009F7BF5" w:rsidRPr="00742642" w:rsidRDefault="009F7BF5" w:rsidP="00742642">
      <w:pPr>
        <w:ind w:firstLine="708"/>
        <w:jc w:val="both"/>
      </w:pPr>
      <w:r w:rsidRPr="00742642">
        <w:t xml:space="preserve">Dados estas evidências, sugere-se como proposta de ações para </w:t>
      </w:r>
      <w:r w:rsidR="00DF3726" w:rsidRPr="00742642">
        <w:t xml:space="preserve">melhoria das relações de trabalho </w:t>
      </w:r>
      <w:r w:rsidR="004F18B9" w:rsidRPr="00742642">
        <w:t>na região e, em especial, na indústria têxtil e de confecção, que seja feito um diagnóstico</w:t>
      </w:r>
      <w:r w:rsidR="00F834D6" w:rsidRPr="00742642">
        <w:t>,</w:t>
      </w:r>
      <w:r w:rsidR="004F18B9" w:rsidRPr="00742642">
        <w:t xml:space="preserve"> junto ao setor empresarial</w:t>
      </w:r>
      <w:r w:rsidR="00F834D6" w:rsidRPr="00742642">
        <w:t>,</w:t>
      </w:r>
      <w:r w:rsidR="00DE16C0" w:rsidRPr="00742642">
        <w:t xml:space="preserve"> </w:t>
      </w:r>
      <w:r w:rsidR="00F834D6" w:rsidRPr="00742642">
        <w:t>dos motivos que os levam a desligarem os seus trabalhadores: se este é fruto da baixa qualificação/produtividade do trabalhador; ou se este seria um resultado d</w:t>
      </w:r>
      <w:r w:rsidR="006D7117" w:rsidRPr="00742642">
        <w:t>o</w:t>
      </w:r>
      <w:r w:rsidR="00F834D6" w:rsidRPr="00742642">
        <w:t xml:space="preserve"> próprio mercado de trabalho, um desequilíbrio entre a oferta e demanda por trabalho. </w:t>
      </w:r>
      <w:r w:rsidR="004F18B9" w:rsidRPr="00742642">
        <w:t xml:space="preserve"> </w:t>
      </w:r>
      <w:r w:rsidR="000A563C" w:rsidRPr="00742642">
        <w:t>Estudos como este poderiam auxiliar, especialmente as micros e pequenas empresas</w:t>
      </w:r>
      <w:r w:rsidR="00C62A33" w:rsidRPr="00742642">
        <w:t xml:space="preserve"> e órgãos como o SEBR</w:t>
      </w:r>
      <w:r w:rsidR="00BB2825" w:rsidRPr="00742642">
        <w:t>A</w:t>
      </w:r>
      <w:r w:rsidR="00C62A33" w:rsidRPr="00742642">
        <w:t>E</w:t>
      </w:r>
      <w:r w:rsidR="000A563C" w:rsidRPr="00742642">
        <w:t>, a adotarem medidas que minimizem os efeitos advers</w:t>
      </w:r>
      <w:r w:rsidR="00C62A33" w:rsidRPr="00742642">
        <w:t>o</w:t>
      </w:r>
      <w:r w:rsidR="000A563C" w:rsidRPr="00742642">
        <w:t>s da rotatividade do trabalho, como</w:t>
      </w:r>
      <w:r w:rsidR="00C62A33" w:rsidRPr="00742642">
        <w:t xml:space="preserve"> por exemplo, um programa de treinamento técnico da mão-de-obra.</w:t>
      </w:r>
      <w:r w:rsidR="000A563C" w:rsidRPr="00742642">
        <w:t xml:space="preserve">  </w:t>
      </w:r>
    </w:p>
    <w:p w:rsidR="009F7BF5" w:rsidRPr="00742642" w:rsidRDefault="009F7BF5" w:rsidP="00742642">
      <w:pPr>
        <w:ind w:firstLine="708"/>
        <w:jc w:val="both"/>
      </w:pPr>
      <w:r w:rsidRPr="00742642">
        <w:t xml:space="preserve"> </w:t>
      </w:r>
    </w:p>
    <w:p w:rsidR="009F7BF5" w:rsidRPr="00742642" w:rsidRDefault="009F7BF5" w:rsidP="00742642">
      <w:pPr>
        <w:ind w:firstLine="708"/>
        <w:jc w:val="both"/>
      </w:pPr>
    </w:p>
    <w:p w:rsidR="00095653" w:rsidRPr="00742642" w:rsidRDefault="00095653" w:rsidP="00742642">
      <w:pPr>
        <w:jc w:val="both"/>
        <w:rPr>
          <w:b/>
        </w:rPr>
      </w:pPr>
      <w:r w:rsidRPr="00742642">
        <w:rPr>
          <w:b/>
        </w:rPr>
        <w:t>REFERÊNCIAS BIBLIOGRÁFICAS</w:t>
      </w:r>
    </w:p>
    <w:p w:rsidR="00095653" w:rsidRPr="00742642" w:rsidRDefault="00095653" w:rsidP="00742642">
      <w:pPr>
        <w:ind w:firstLine="708"/>
        <w:jc w:val="both"/>
      </w:pPr>
    </w:p>
    <w:p w:rsidR="00963F88" w:rsidRPr="00742642" w:rsidRDefault="00963F88" w:rsidP="00742642">
      <w:pPr>
        <w:rPr>
          <w:lang w:eastAsia="pt-BR"/>
        </w:rPr>
      </w:pPr>
      <w:r w:rsidRPr="00742642">
        <w:t xml:space="preserve">ALBUQUERQUE, L.S.G. Mobilidade de emprego entre os jovens no Brasil. </w:t>
      </w:r>
      <w:r w:rsidRPr="00742642">
        <w:rPr>
          <w:b/>
        </w:rPr>
        <w:t xml:space="preserve">Dissertação (Mestrado em Economia) </w:t>
      </w:r>
      <w:r w:rsidRPr="00742642">
        <w:t>– UFRJ, 2009.</w:t>
      </w:r>
    </w:p>
    <w:p w:rsidR="00095653" w:rsidRPr="00742642" w:rsidRDefault="00095653" w:rsidP="00742642">
      <w:pPr>
        <w:jc w:val="both"/>
      </w:pPr>
    </w:p>
    <w:p w:rsidR="00095653" w:rsidRPr="00742642" w:rsidRDefault="00095653" w:rsidP="00742642">
      <w:pPr>
        <w:jc w:val="both"/>
        <w:rPr>
          <w:lang w:val="en-GB"/>
        </w:rPr>
      </w:pPr>
      <w:r w:rsidRPr="00742642">
        <w:t xml:space="preserve">AMADEO, E., BARROS, R., CAMARGO, J.M., GONZAGA, G. &amp; MENDONÇA, R. (1994) “A Natureza e o Funcionamento do Mercado de Trabalho Brasileiro desde 1980”. </w:t>
      </w:r>
      <w:proofErr w:type="spellStart"/>
      <w:r w:rsidRPr="00742642">
        <w:rPr>
          <w:b/>
          <w:lang w:val="en-GB"/>
        </w:rPr>
        <w:t>Série</w:t>
      </w:r>
      <w:proofErr w:type="spellEnd"/>
      <w:r w:rsidRPr="00742642">
        <w:rPr>
          <w:b/>
          <w:lang w:val="en-GB"/>
        </w:rPr>
        <w:t xml:space="preserve"> </w:t>
      </w:r>
      <w:proofErr w:type="spellStart"/>
      <w:r w:rsidRPr="00742642">
        <w:rPr>
          <w:b/>
          <w:lang w:val="en-GB"/>
        </w:rPr>
        <w:t>Seminários</w:t>
      </w:r>
      <w:proofErr w:type="spellEnd"/>
      <w:r w:rsidRPr="00742642">
        <w:rPr>
          <w:b/>
          <w:lang w:val="en-GB"/>
        </w:rPr>
        <w:t xml:space="preserve"> nº 11/94</w:t>
      </w:r>
      <w:r w:rsidRPr="00742642">
        <w:rPr>
          <w:lang w:val="en-GB"/>
        </w:rPr>
        <w:t>, DIPES/IPEA.</w:t>
      </w:r>
    </w:p>
    <w:p w:rsidR="00D839D2" w:rsidRPr="00742642" w:rsidRDefault="00D839D2" w:rsidP="00742642">
      <w:pPr>
        <w:jc w:val="both"/>
        <w:rPr>
          <w:lang w:val="en-GB"/>
        </w:rPr>
      </w:pPr>
    </w:p>
    <w:p w:rsidR="00D839D2" w:rsidRPr="00742642" w:rsidRDefault="00D839D2" w:rsidP="00742642">
      <w:pPr>
        <w:rPr>
          <w:lang w:val="en-GB" w:eastAsia="pt-BR"/>
        </w:rPr>
      </w:pPr>
      <w:r w:rsidRPr="00742642">
        <w:rPr>
          <w:lang w:val="en-GB"/>
        </w:rPr>
        <w:t xml:space="preserve">ARROW, Kenneth J. The economic implications of learning by doing. </w:t>
      </w:r>
      <w:r w:rsidRPr="00742642">
        <w:rPr>
          <w:b/>
          <w:bCs/>
          <w:lang w:val="en-GB"/>
        </w:rPr>
        <w:t>The review of economic studies</w:t>
      </w:r>
      <w:r w:rsidRPr="00742642">
        <w:rPr>
          <w:lang w:val="en-GB"/>
        </w:rPr>
        <w:t>, v. 29, n. 3, p. 155-173, 1962.</w:t>
      </w:r>
    </w:p>
    <w:p w:rsidR="0040603E" w:rsidRPr="00742642" w:rsidRDefault="0040603E" w:rsidP="00742642">
      <w:pPr>
        <w:jc w:val="both"/>
        <w:rPr>
          <w:lang w:val="en-GB"/>
        </w:rPr>
      </w:pPr>
    </w:p>
    <w:p w:rsidR="0040603E" w:rsidRPr="00742642" w:rsidRDefault="0040603E" w:rsidP="00742642">
      <w:pPr>
        <w:jc w:val="both"/>
        <w:rPr>
          <w:lang w:val="en-GB"/>
        </w:rPr>
      </w:pPr>
      <w:r w:rsidRPr="00742642">
        <w:rPr>
          <w:lang w:val="en-GB"/>
        </w:rPr>
        <w:t xml:space="preserve">BARTEL, Ann P.; BORJAS, George J. Wage growth and job turnover: An empirical analysis. In: </w:t>
      </w:r>
      <w:r w:rsidRPr="00742642">
        <w:rPr>
          <w:b/>
          <w:bCs/>
          <w:lang w:val="en-GB"/>
        </w:rPr>
        <w:t xml:space="preserve">Studies in </w:t>
      </w:r>
      <w:proofErr w:type="spellStart"/>
      <w:r w:rsidRPr="00742642">
        <w:rPr>
          <w:b/>
          <w:bCs/>
          <w:lang w:val="en-GB"/>
        </w:rPr>
        <w:t>labor</w:t>
      </w:r>
      <w:proofErr w:type="spellEnd"/>
      <w:r w:rsidRPr="00742642">
        <w:rPr>
          <w:b/>
          <w:bCs/>
          <w:lang w:val="en-GB"/>
        </w:rPr>
        <w:t xml:space="preserve"> markets</w:t>
      </w:r>
      <w:r w:rsidRPr="00742642">
        <w:rPr>
          <w:lang w:val="en-GB"/>
        </w:rPr>
        <w:t>. University of Chicago Press, 1981. p. 65-90.</w:t>
      </w:r>
    </w:p>
    <w:p w:rsidR="00095653" w:rsidRPr="00742642" w:rsidRDefault="00095653" w:rsidP="00742642">
      <w:pPr>
        <w:ind w:firstLine="708"/>
        <w:jc w:val="both"/>
        <w:rPr>
          <w:lang w:val="en-GB"/>
        </w:rPr>
      </w:pPr>
    </w:p>
    <w:p w:rsidR="00095653" w:rsidRPr="00742642" w:rsidRDefault="00A7192A" w:rsidP="00742642">
      <w:pPr>
        <w:jc w:val="both"/>
        <w:rPr>
          <w:lang w:val="en-US"/>
        </w:rPr>
      </w:pPr>
      <w:r w:rsidRPr="00742642">
        <w:t>BE</w:t>
      </w:r>
      <w:r w:rsidR="00095653" w:rsidRPr="00742642">
        <w:t xml:space="preserve">CKER, B. </w:t>
      </w:r>
      <w:r w:rsidR="00994317" w:rsidRPr="00742642">
        <w:t>“</w:t>
      </w:r>
      <w:r w:rsidR="00095653" w:rsidRPr="00742642">
        <w:t>Uma Nova Regionalização Para Se Pensar o Brasil</w:t>
      </w:r>
      <w:r w:rsidR="00994317" w:rsidRPr="00742642">
        <w:t>”</w:t>
      </w:r>
      <w:r w:rsidR="00095653" w:rsidRPr="00742642">
        <w:t>. In: LIMONAD, E. et al (</w:t>
      </w:r>
      <w:proofErr w:type="spellStart"/>
      <w:r w:rsidR="00095653" w:rsidRPr="00742642">
        <w:t>orgs</w:t>
      </w:r>
      <w:proofErr w:type="spellEnd"/>
      <w:r w:rsidR="00095653" w:rsidRPr="00742642">
        <w:t xml:space="preserve">) Brasil Século XXI, por uma nova regionalização, processos, escalas, agentes/organizadores. </w:t>
      </w:r>
      <w:r w:rsidR="00095653" w:rsidRPr="00742642">
        <w:rPr>
          <w:lang w:val="en-US"/>
        </w:rPr>
        <w:t xml:space="preserve">São Paulo: </w:t>
      </w:r>
      <w:r w:rsidR="00095653" w:rsidRPr="00742642">
        <w:rPr>
          <w:b/>
          <w:lang w:val="en-US"/>
        </w:rPr>
        <w:t xml:space="preserve">Max </w:t>
      </w:r>
      <w:proofErr w:type="spellStart"/>
      <w:r w:rsidR="00095653" w:rsidRPr="00742642">
        <w:rPr>
          <w:b/>
          <w:lang w:val="en-US"/>
        </w:rPr>
        <w:t>Limonad</w:t>
      </w:r>
      <w:proofErr w:type="spellEnd"/>
      <w:r w:rsidR="00095653" w:rsidRPr="00742642">
        <w:rPr>
          <w:lang w:val="en-US"/>
        </w:rPr>
        <w:t>, 2004.</w:t>
      </w:r>
    </w:p>
    <w:p w:rsidR="00095653" w:rsidRPr="00742642" w:rsidRDefault="00095653" w:rsidP="00742642">
      <w:pPr>
        <w:ind w:firstLine="708"/>
        <w:jc w:val="both"/>
        <w:rPr>
          <w:lang w:val="en-US"/>
        </w:rPr>
      </w:pPr>
    </w:p>
    <w:p w:rsidR="00095653" w:rsidRPr="00742642" w:rsidRDefault="00095653" w:rsidP="00742642">
      <w:pPr>
        <w:jc w:val="both"/>
        <w:rPr>
          <w:lang w:val="en-US"/>
        </w:rPr>
      </w:pPr>
      <w:r w:rsidRPr="00742642">
        <w:rPr>
          <w:lang w:val="en-US"/>
        </w:rPr>
        <w:t xml:space="preserve">BLUMEN, I.; KOOGAN, M.; MCCARTHY, P. J. </w:t>
      </w:r>
      <w:r w:rsidR="00994317" w:rsidRPr="00742642">
        <w:rPr>
          <w:lang w:val="en-US"/>
        </w:rPr>
        <w:t>“</w:t>
      </w:r>
      <w:r w:rsidRPr="00742642">
        <w:rPr>
          <w:lang w:val="en-US"/>
        </w:rPr>
        <w:t>The industrial mobility of labor as a probability process</w:t>
      </w:r>
      <w:r w:rsidR="00994317" w:rsidRPr="00742642">
        <w:rPr>
          <w:lang w:val="en-US"/>
        </w:rPr>
        <w:t>”</w:t>
      </w:r>
      <w:r w:rsidRPr="00742642">
        <w:rPr>
          <w:lang w:val="en-US"/>
        </w:rPr>
        <w:t xml:space="preserve">. Ithaca, NY: </w:t>
      </w:r>
      <w:r w:rsidRPr="00742642">
        <w:rPr>
          <w:b/>
          <w:lang w:val="en-US"/>
        </w:rPr>
        <w:t>Cornell University Press</w:t>
      </w:r>
      <w:r w:rsidRPr="00742642">
        <w:rPr>
          <w:lang w:val="en-US"/>
        </w:rPr>
        <w:t>, 1955.</w:t>
      </w:r>
    </w:p>
    <w:p w:rsidR="00095653" w:rsidRPr="00742642" w:rsidRDefault="00095653" w:rsidP="00742642">
      <w:pPr>
        <w:ind w:firstLine="708"/>
        <w:jc w:val="both"/>
        <w:rPr>
          <w:lang w:val="en-US"/>
        </w:rPr>
      </w:pPr>
    </w:p>
    <w:p w:rsidR="00095653" w:rsidRPr="00742642" w:rsidRDefault="00095653" w:rsidP="00742642">
      <w:pPr>
        <w:jc w:val="both"/>
        <w:rPr>
          <w:lang w:val="en-US"/>
        </w:rPr>
      </w:pPr>
      <w:r w:rsidRPr="00742642">
        <w:rPr>
          <w:lang w:val="en-US"/>
        </w:rPr>
        <w:t xml:space="preserve">BURDETT, K. </w:t>
      </w:r>
      <w:r w:rsidR="00994317" w:rsidRPr="00742642">
        <w:rPr>
          <w:lang w:val="en-US"/>
        </w:rPr>
        <w:t>“</w:t>
      </w:r>
      <w:r w:rsidRPr="00742642">
        <w:rPr>
          <w:lang w:val="en-US"/>
        </w:rPr>
        <w:t>A theory of employee job search and quit rates</w:t>
      </w:r>
      <w:r w:rsidR="00994317" w:rsidRPr="00742642">
        <w:rPr>
          <w:lang w:val="en-US"/>
        </w:rPr>
        <w:t>”</w:t>
      </w:r>
      <w:r w:rsidRPr="00742642">
        <w:rPr>
          <w:lang w:val="en-US"/>
        </w:rPr>
        <w:t xml:space="preserve">. </w:t>
      </w:r>
      <w:r w:rsidRPr="00742642">
        <w:rPr>
          <w:b/>
          <w:lang w:val="en-US"/>
        </w:rPr>
        <w:t>American Economic Review</w:t>
      </w:r>
      <w:r w:rsidRPr="00742642">
        <w:rPr>
          <w:lang w:val="en-US"/>
        </w:rPr>
        <w:t>, v. 68, n. 1, p. 212-220, 1978.</w:t>
      </w:r>
    </w:p>
    <w:p w:rsidR="00095653" w:rsidRPr="00742642" w:rsidRDefault="00095653" w:rsidP="00742642">
      <w:pPr>
        <w:ind w:firstLine="708"/>
        <w:jc w:val="both"/>
        <w:rPr>
          <w:lang w:val="en-US"/>
        </w:rPr>
      </w:pPr>
    </w:p>
    <w:p w:rsidR="00831D2F" w:rsidRPr="00742642" w:rsidRDefault="00095653" w:rsidP="00742642">
      <w:pPr>
        <w:jc w:val="both"/>
      </w:pPr>
      <w:r w:rsidRPr="00742642">
        <w:t xml:space="preserve">CANO, W. </w:t>
      </w:r>
      <w:r w:rsidR="00994317" w:rsidRPr="00742642">
        <w:t>“</w:t>
      </w:r>
      <w:r w:rsidRPr="00742642">
        <w:t>Desequilíbrios Regionais e Concentração Industrial no Brasil: 1930-1995</w:t>
      </w:r>
      <w:r w:rsidR="00994317" w:rsidRPr="00742642">
        <w:t>”</w:t>
      </w:r>
      <w:r w:rsidRPr="00742642">
        <w:t>. Campinas: UNICAMP-IE, 1998.</w:t>
      </w:r>
    </w:p>
    <w:p w:rsidR="00831D2F" w:rsidRPr="00742642" w:rsidRDefault="00831D2F" w:rsidP="00742642">
      <w:pPr>
        <w:jc w:val="both"/>
      </w:pPr>
    </w:p>
    <w:p w:rsidR="00095653" w:rsidRPr="00742642" w:rsidRDefault="00831D2F" w:rsidP="00742642">
      <w:pPr>
        <w:jc w:val="both"/>
      </w:pPr>
      <w:r w:rsidRPr="00742642">
        <w:t xml:space="preserve">COELHO, A. M.; CORSEUIL, C. H.; “Diferenciais Salariais: um breve panorama”; In: </w:t>
      </w:r>
      <w:proofErr w:type="spellStart"/>
      <w:r w:rsidRPr="00742642">
        <w:t>Corseuil</w:t>
      </w:r>
      <w:proofErr w:type="spellEnd"/>
      <w:r w:rsidRPr="00742642">
        <w:t>, C. H. et al. (</w:t>
      </w:r>
      <w:proofErr w:type="spellStart"/>
      <w:r w:rsidRPr="00742642">
        <w:t>orgs</w:t>
      </w:r>
      <w:proofErr w:type="spellEnd"/>
      <w:r w:rsidRPr="00742642">
        <w:t xml:space="preserve">.), </w:t>
      </w:r>
      <w:r w:rsidRPr="00742642">
        <w:rPr>
          <w:b/>
        </w:rPr>
        <w:t>Estrutura salarial: aspectos conceituais e novos resultados para o Brasil.</w:t>
      </w:r>
      <w:r w:rsidRPr="00742642">
        <w:t xml:space="preserve"> Rio de Janeiro: IPEA, 2002.</w:t>
      </w:r>
    </w:p>
    <w:p w:rsidR="00C7258D" w:rsidRPr="00742642" w:rsidRDefault="00C7258D" w:rsidP="00742642">
      <w:pPr>
        <w:jc w:val="both"/>
      </w:pPr>
    </w:p>
    <w:p w:rsidR="00C7258D" w:rsidRPr="00742642" w:rsidRDefault="00C7258D" w:rsidP="00742642">
      <w:pPr>
        <w:rPr>
          <w:lang w:val="en-GB" w:eastAsia="pt-BR"/>
        </w:rPr>
      </w:pPr>
      <w:r w:rsidRPr="00742642">
        <w:t xml:space="preserve">CORSEUIL, Carlos Henrique et al. A rotatividade dos jovens no mercado de trabalho formal brasileiro. </w:t>
      </w:r>
      <w:r w:rsidRPr="00742642">
        <w:rPr>
          <w:lang w:val="en-GB"/>
        </w:rPr>
        <w:t>Rio de Janeiro: IPEA, 2013.</w:t>
      </w:r>
    </w:p>
    <w:p w:rsidR="00095653" w:rsidRPr="00742642" w:rsidRDefault="00095653" w:rsidP="00742642">
      <w:pPr>
        <w:jc w:val="both"/>
        <w:rPr>
          <w:lang w:val="en-GB"/>
        </w:rPr>
      </w:pPr>
    </w:p>
    <w:p w:rsidR="00D839D2" w:rsidRPr="00742642" w:rsidRDefault="00D839D2" w:rsidP="00742642">
      <w:pPr>
        <w:rPr>
          <w:lang w:eastAsia="pt-BR"/>
        </w:rPr>
      </w:pPr>
      <w:r w:rsidRPr="00742642">
        <w:rPr>
          <w:lang w:val="en-GB"/>
        </w:rPr>
        <w:lastRenderedPageBreak/>
        <w:t xml:space="preserve">FELPS, Will et al. Turnover contagion: How </w:t>
      </w:r>
      <w:proofErr w:type="spellStart"/>
      <w:r w:rsidRPr="00742642">
        <w:rPr>
          <w:lang w:val="en-GB"/>
        </w:rPr>
        <w:t>coworkers'</w:t>
      </w:r>
      <w:proofErr w:type="spellEnd"/>
      <w:r w:rsidRPr="00742642">
        <w:rPr>
          <w:lang w:val="en-GB"/>
        </w:rPr>
        <w:t xml:space="preserve"> job </w:t>
      </w:r>
      <w:proofErr w:type="spellStart"/>
      <w:r w:rsidRPr="00742642">
        <w:rPr>
          <w:lang w:val="en-GB"/>
        </w:rPr>
        <w:t>embeddedness</w:t>
      </w:r>
      <w:proofErr w:type="spellEnd"/>
      <w:r w:rsidRPr="00742642">
        <w:rPr>
          <w:lang w:val="en-GB"/>
        </w:rPr>
        <w:t xml:space="preserve"> and job search </w:t>
      </w:r>
      <w:proofErr w:type="spellStart"/>
      <w:r w:rsidRPr="00742642">
        <w:rPr>
          <w:lang w:val="en-GB"/>
        </w:rPr>
        <w:t>behaviors</w:t>
      </w:r>
      <w:proofErr w:type="spellEnd"/>
      <w:r w:rsidRPr="00742642">
        <w:rPr>
          <w:lang w:val="en-GB"/>
        </w:rPr>
        <w:t xml:space="preserve"> influence quitting. </w:t>
      </w:r>
      <w:proofErr w:type="spellStart"/>
      <w:r w:rsidRPr="00742642">
        <w:rPr>
          <w:b/>
          <w:bCs/>
        </w:rPr>
        <w:t>Academy</w:t>
      </w:r>
      <w:proofErr w:type="spellEnd"/>
      <w:r w:rsidRPr="00742642">
        <w:rPr>
          <w:b/>
          <w:bCs/>
        </w:rPr>
        <w:t xml:space="preserve"> </w:t>
      </w:r>
      <w:proofErr w:type="spellStart"/>
      <w:r w:rsidRPr="00742642">
        <w:rPr>
          <w:b/>
          <w:bCs/>
        </w:rPr>
        <w:t>of</w:t>
      </w:r>
      <w:proofErr w:type="spellEnd"/>
      <w:r w:rsidRPr="00742642">
        <w:rPr>
          <w:b/>
          <w:bCs/>
        </w:rPr>
        <w:t xml:space="preserve"> Management </w:t>
      </w:r>
      <w:proofErr w:type="spellStart"/>
      <w:r w:rsidRPr="00742642">
        <w:rPr>
          <w:b/>
          <w:bCs/>
        </w:rPr>
        <w:t>Journal</w:t>
      </w:r>
      <w:proofErr w:type="spellEnd"/>
      <w:r w:rsidRPr="00742642">
        <w:t>, v. 52, n. 3, p. 545-561, 2009.</w:t>
      </w:r>
    </w:p>
    <w:p w:rsidR="00D839D2" w:rsidRPr="00742642" w:rsidRDefault="00D839D2" w:rsidP="00742642">
      <w:pPr>
        <w:jc w:val="both"/>
      </w:pPr>
    </w:p>
    <w:p w:rsidR="00095653" w:rsidRPr="00742642" w:rsidRDefault="00095653" w:rsidP="00742642">
      <w:pPr>
        <w:jc w:val="both"/>
      </w:pPr>
      <w:r w:rsidRPr="00742642">
        <w:t xml:space="preserve">GONZAGA, G. “Rotatividade e Qualidade do Emprego no Brasil”; </w:t>
      </w:r>
      <w:r w:rsidRPr="00742642">
        <w:rPr>
          <w:b/>
        </w:rPr>
        <w:t>Revista de Economia Política</w:t>
      </w:r>
      <w:r w:rsidRPr="00742642">
        <w:t>, vol. 18, nº 1 (69), janeiro-março (1998).</w:t>
      </w:r>
    </w:p>
    <w:p w:rsidR="00963F88" w:rsidRPr="00742642" w:rsidRDefault="00963F88" w:rsidP="00742642">
      <w:pPr>
        <w:jc w:val="both"/>
      </w:pPr>
    </w:p>
    <w:p w:rsidR="00963F88" w:rsidRPr="00742642" w:rsidRDefault="00963F88" w:rsidP="00742642">
      <w:pPr>
        <w:rPr>
          <w:lang w:eastAsia="pt-BR"/>
        </w:rPr>
      </w:pPr>
      <w:r w:rsidRPr="00742642">
        <w:t xml:space="preserve">GONZAGA, Gustavo et al. Rotatividade do trabalho e incentivos da legislação trabalhista. </w:t>
      </w:r>
      <w:r w:rsidRPr="00742642">
        <w:rPr>
          <w:b/>
          <w:bCs/>
        </w:rPr>
        <w:t>Panorama do mercado de trabalho no Brasil. Rio de Janeiro: Editora FGV</w:t>
      </w:r>
      <w:r w:rsidRPr="00742642">
        <w:t>, 2014.</w:t>
      </w:r>
    </w:p>
    <w:p w:rsidR="00D839D2" w:rsidRPr="00742642" w:rsidRDefault="00D839D2" w:rsidP="00742642">
      <w:pPr>
        <w:jc w:val="both"/>
      </w:pPr>
    </w:p>
    <w:p w:rsidR="00D839D2" w:rsidRPr="00742642" w:rsidRDefault="00D839D2" w:rsidP="00742642">
      <w:pPr>
        <w:rPr>
          <w:lang w:val="en-GB" w:eastAsia="pt-BR"/>
        </w:rPr>
      </w:pPr>
      <w:r w:rsidRPr="00742642">
        <w:rPr>
          <w:lang w:val="en-GB"/>
        </w:rPr>
        <w:t xml:space="preserve">HIJZEN, Alexander et al. Employment, job turnover, and trade in producer services: UK firm‐level evidence. </w:t>
      </w:r>
      <w:r w:rsidRPr="00742642">
        <w:rPr>
          <w:b/>
          <w:bCs/>
          <w:lang w:val="en-GB"/>
        </w:rPr>
        <w:t xml:space="preserve">Canadian Journal of Economics/Revue </w:t>
      </w:r>
      <w:proofErr w:type="spellStart"/>
      <w:r w:rsidRPr="00742642">
        <w:rPr>
          <w:b/>
          <w:bCs/>
          <w:lang w:val="en-GB"/>
        </w:rPr>
        <w:t>canadienne</w:t>
      </w:r>
      <w:proofErr w:type="spellEnd"/>
      <w:r w:rsidRPr="00742642">
        <w:rPr>
          <w:b/>
          <w:bCs/>
          <w:lang w:val="en-GB"/>
        </w:rPr>
        <w:t xml:space="preserve"> </w:t>
      </w:r>
      <w:proofErr w:type="spellStart"/>
      <w:r w:rsidRPr="00742642">
        <w:rPr>
          <w:b/>
          <w:bCs/>
          <w:lang w:val="en-GB"/>
        </w:rPr>
        <w:t>d'économique</w:t>
      </w:r>
      <w:proofErr w:type="spellEnd"/>
      <w:r w:rsidRPr="00742642">
        <w:rPr>
          <w:lang w:val="en-GB"/>
        </w:rPr>
        <w:t>, v. 44, n. 3, p. 1020-1043, 2011.</w:t>
      </w:r>
    </w:p>
    <w:p w:rsidR="0040603E" w:rsidRPr="00742642" w:rsidRDefault="0040603E" w:rsidP="00742642">
      <w:pPr>
        <w:jc w:val="both"/>
        <w:rPr>
          <w:lang w:val="en-GB"/>
        </w:rPr>
      </w:pPr>
    </w:p>
    <w:p w:rsidR="0040603E" w:rsidRPr="00742642" w:rsidRDefault="0040603E" w:rsidP="00742642">
      <w:pPr>
        <w:jc w:val="both"/>
      </w:pPr>
      <w:r w:rsidRPr="00742642">
        <w:rPr>
          <w:lang w:val="en-GB"/>
        </w:rPr>
        <w:t xml:space="preserve">LAMBERT, Eric G.; HOGAN, Nancy Lynne; BARTON, Shannon M. The impact of job satisfaction on turnover intent: a test of a structural measurement model using a national sample of workers. </w:t>
      </w:r>
      <w:r w:rsidRPr="00742642">
        <w:rPr>
          <w:b/>
          <w:bCs/>
        </w:rPr>
        <w:t xml:space="preserve">The Social Science </w:t>
      </w:r>
      <w:proofErr w:type="spellStart"/>
      <w:r w:rsidRPr="00742642">
        <w:rPr>
          <w:b/>
          <w:bCs/>
        </w:rPr>
        <w:t>Journal</w:t>
      </w:r>
      <w:proofErr w:type="spellEnd"/>
      <w:r w:rsidRPr="00742642">
        <w:t>, v. 38, n. 2, p. 233-250, 2001.</w:t>
      </w:r>
    </w:p>
    <w:p w:rsidR="00C7258D" w:rsidRPr="00742642" w:rsidRDefault="00C7258D" w:rsidP="00742642">
      <w:pPr>
        <w:jc w:val="both"/>
      </w:pPr>
    </w:p>
    <w:p w:rsidR="00C7258D" w:rsidRPr="00742642" w:rsidRDefault="00C7258D" w:rsidP="00742642">
      <w:pPr>
        <w:rPr>
          <w:lang w:val="en-GB" w:eastAsia="pt-BR"/>
        </w:rPr>
      </w:pPr>
      <w:r w:rsidRPr="00742642">
        <w:t xml:space="preserve">MENDES, </w:t>
      </w:r>
      <w:proofErr w:type="spellStart"/>
      <w:r w:rsidRPr="00742642">
        <w:t>Philipe</w:t>
      </w:r>
      <w:proofErr w:type="spellEnd"/>
      <w:r w:rsidRPr="00742642">
        <w:t xml:space="preserve"> </w:t>
      </w:r>
      <w:proofErr w:type="spellStart"/>
      <w:r w:rsidRPr="00742642">
        <w:t>Scherrer</w:t>
      </w:r>
      <w:proofErr w:type="spellEnd"/>
      <w:r w:rsidRPr="00742642">
        <w:t xml:space="preserve">; GONÇALVES, Eduardo; FREGUGLIA, Ricardo da Silva. Mobilidade </w:t>
      </w:r>
      <w:proofErr w:type="spellStart"/>
      <w:r w:rsidRPr="00742642">
        <w:t>interfirmas</w:t>
      </w:r>
      <w:proofErr w:type="spellEnd"/>
      <w:r w:rsidRPr="00742642">
        <w:t xml:space="preserve"> de trabalhadores no Brasil formal: composição e determinantes. </w:t>
      </w:r>
      <w:r w:rsidRPr="00742642">
        <w:rPr>
          <w:b/>
          <w:lang w:val="en-GB"/>
        </w:rPr>
        <w:t>Rio de Janeiro: IPEA</w:t>
      </w:r>
      <w:r w:rsidRPr="00742642">
        <w:rPr>
          <w:lang w:val="en-GB"/>
        </w:rPr>
        <w:t>, 2012.</w:t>
      </w:r>
    </w:p>
    <w:p w:rsidR="00994317" w:rsidRPr="00742642" w:rsidRDefault="00994317" w:rsidP="00742642">
      <w:pPr>
        <w:jc w:val="both"/>
        <w:rPr>
          <w:lang w:val="en-GB"/>
        </w:rPr>
      </w:pPr>
    </w:p>
    <w:p w:rsidR="00095653" w:rsidRPr="00742642" w:rsidRDefault="00994317" w:rsidP="00742642">
      <w:pPr>
        <w:jc w:val="both"/>
        <w:rPr>
          <w:lang w:val="en-US"/>
        </w:rPr>
      </w:pPr>
      <w:r w:rsidRPr="00742642">
        <w:rPr>
          <w:lang w:val="en-US"/>
        </w:rPr>
        <w:t xml:space="preserve">MINCER, J. “Schooling, experience and earnings”. New York: </w:t>
      </w:r>
      <w:r w:rsidRPr="00742642">
        <w:rPr>
          <w:b/>
          <w:lang w:val="en-US"/>
        </w:rPr>
        <w:t>National Bureau for Economic Research</w:t>
      </w:r>
      <w:r w:rsidRPr="00742642">
        <w:rPr>
          <w:lang w:val="en-US"/>
        </w:rPr>
        <w:t>, 1974.</w:t>
      </w:r>
    </w:p>
    <w:p w:rsidR="00994317" w:rsidRPr="00742642" w:rsidRDefault="00994317" w:rsidP="00742642">
      <w:pPr>
        <w:jc w:val="both"/>
        <w:rPr>
          <w:lang w:val="en-US"/>
        </w:rPr>
      </w:pPr>
    </w:p>
    <w:p w:rsidR="0040603E" w:rsidRPr="00742642" w:rsidRDefault="0040603E" w:rsidP="00742642">
      <w:pPr>
        <w:jc w:val="both"/>
      </w:pPr>
      <w:r w:rsidRPr="00742642">
        <w:rPr>
          <w:lang w:val="en-GB"/>
        </w:rPr>
        <w:t xml:space="preserve">MUNASINGHE, Lalith; SIGMAN, Karl. A hobo syndrome? Mobility, wages, and job turnover. </w:t>
      </w:r>
      <w:proofErr w:type="spellStart"/>
      <w:r w:rsidRPr="00742642">
        <w:rPr>
          <w:b/>
          <w:bCs/>
        </w:rPr>
        <w:t>Labour</w:t>
      </w:r>
      <w:proofErr w:type="spellEnd"/>
      <w:r w:rsidRPr="00742642">
        <w:rPr>
          <w:b/>
          <w:bCs/>
        </w:rPr>
        <w:t xml:space="preserve"> </w:t>
      </w:r>
      <w:proofErr w:type="spellStart"/>
      <w:r w:rsidRPr="00742642">
        <w:rPr>
          <w:b/>
          <w:bCs/>
        </w:rPr>
        <w:t>Economics</w:t>
      </w:r>
      <w:proofErr w:type="spellEnd"/>
      <w:r w:rsidRPr="00742642">
        <w:t>, v. 11, n. 2, p. 191-218, 2004.</w:t>
      </w:r>
    </w:p>
    <w:p w:rsidR="0040603E" w:rsidRPr="00742642" w:rsidRDefault="0040603E" w:rsidP="00742642">
      <w:pPr>
        <w:jc w:val="both"/>
      </w:pPr>
    </w:p>
    <w:p w:rsidR="00095653" w:rsidRPr="00742642" w:rsidRDefault="00095653" w:rsidP="00742642">
      <w:pPr>
        <w:jc w:val="both"/>
      </w:pPr>
      <w:r w:rsidRPr="00742642">
        <w:t xml:space="preserve">RIBEIRO, E. P. </w:t>
      </w:r>
      <w:r w:rsidR="00994317" w:rsidRPr="00742642">
        <w:t>“</w:t>
      </w:r>
      <w:r w:rsidR="00DC7ECB" w:rsidRPr="00742642">
        <w:t>Fluxo de E</w:t>
      </w:r>
      <w:r w:rsidRPr="00742642">
        <w:t xml:space="preserve">mpregos, </w:t>
      </w:r>
      <w:r w:rsidR="00DC7ECB" w:rsidRPr="00742642">
        <w:t>F</w:t>
      </w:r>
      <w:r w:rsidRPr="00742642">
        <w:t xml:space="preserve">luxo de </w:t>
      </w:r>
      <w:r w:rsidR="00DC7ECB" w:rsidRPr="00742642">
        <w:t>T</w:t>
      </w:r>
      <w:r w:rsidRPr="00742642">
        <w:t xml:space="preserve">rabalhadores e </w:t>
      </w:r>
      <w:r w:rsidR="00DC7ECB" w:rsidRPr="00742642">
        <w:t>F</w:t>
      </w:r>
      <w:r w:rsidRPr="00742642">
        <w:t xml:space="preserve">luxo de </w:t>
      </w:r>
      <w:r w:rsidR="00DC7ECB" w:rsidRPr="00742642">
        <w:t>P</w:t>
      </w:r>
      <w:r w:rsidRPr="00742642">
        <w:t xml:space="preserve">ostos de </w:t>
      </w:r>
      <w:r w:rsidR="00DC7ECB" w:rsidRPr="00742642">
        <w:t>T</w:t>
      </w:r>
      <w:r w:rsidRPr="00742642">
        <w:t>rabalho no Brasil</w:t>
      </w:r>
      <w:r w:rsidR="00994317" w:rsidRPr="00742642">
        <w:t>”</w:t>
      </w:r>
      <w:r w:rsidRPr="00742642">
        <w:t xml:space="preserve">, </w:t>
      </w:r>
      <w:r w:rsidRPr="00742642">
        <w:rPr>
          <w:b/>
        </w:rPr>
        <w:t>Revista de Economia Política</w:t>
      </w:r>
      <w:r w:rsidRPr="00742642">
        <w:t>, vol. 30, nº 3 (119), pp. 401-419, julho-setembro/2010.</w:t>
      </w:r>
    </w:p>
    <w:p w:rsidR="00D839D2" w:rsidRPr="00742642" w:rsidRDefault="00D839D2" w:rsidP="00742642">
      <w:pPr>
        <w:jc w:val="both"/>
      </w:pPr>
    </w:p>
    <w:p w:rsidR="00D839D2" w:rsidRPr="00742642" w:rsidRDefault="00D839D2" w:rsidP="00742642">
      <w:pPr>
        <w:rPr>
          <w:lang w:eastAsia="pt-BR"/>
        </w:rPr>
      </w:pPr>
      <w:r w:rsidRPr="00742642">
        <w:rPr>
          <w:lang w:val="en-GB"/>
        </w:rPr>
        <w:t xml:space="preserve">SONG, </w:t>
      </w:r>
      <w:proofErr w:type="spellStart"/>
      <w:r w:rsidRPr="00742642">
        <w:rPr>
          <w:lang w:val="en-GB"/>
        </w:rPr>
        <w:t>Jaeyong</w:t>
      </w:r>
      <w:proofErr w:type="spellEnd"/>
      <w:r w:rsidRPr="00742642">
        <w:rPr>
          <w:lang w:val="en-GB"/>
        </w:rPr>
        <w:t>; ALMEIDA, Paul; WU, Geraldine. Learning–by–Hiring: When is mobility more likely to facilitate interfirm knowledge transfer</w:t>
      </w:r>
      <w:proofErr w:type="gramStart"/>
      <w:r w:rsidRPr="00742642">
        <w:rPr>
          <w:lang w:val="en-GB"/>
        </w:rPr>
        <w:t>?.</w:t>
      </w:r>
      <w:proofErr w:type="gramEnd"/>
      <w:r w:rsidRPr="00742642">
        <w:rPr>
          <w:lang w:val="en-GB"/>
        </w:rPr>
        <w:t xml:space="preserve"> </w:t>
      </w:r>
      <w:r w:rsidRPr="00742642">
        <w:rPr>
          <w:b/>
          <w:bCs/>
        </w:rPr>
        <w:t xml:space="preserve">Management </w:t>
      </w:r>
      <w:proofErr w:type="spellStart"/>
      <w:r w:rsidRPr="00742642">
        <w:rPr>
          <w:b/>
          <w:bCs/>
        </w:rPr>
        <w:t>science</w:t>
      </w:r>
      <w:proofErr w:type="spellEnd"/>
      <w:r w:rsidRPr="00742642">
        <w:t>, v. 49, n. 4, p. 351-365, 2003.</w:t>
      </w:r>
    </w:p>
    <w:p w:rsidR="00D839D2" w:rsidRPr="00742642" w:rsidRDefault="00D839D2" w:rsidP="00742642">
      <w:pPr>
        <w:jc w:val="both"/>
      </w:pPr>
    </w:p>
    <w:p w:rsidR="00D839D2" w:rsidRPr="00742642" w:rsidRDefault="00D839D2" w:rsidP="00742642">
      <w:pPr>
        <w:rPr>
          <w:lang w:eastAsia="pt-BR"/>
        </w:rPr>
      </w:pPr>
      <w:r w:rsidRPr="00742642">
        <w:t xml:space="preserve">TAVEIRA, Juliana Gonçalves </w:t>
      </w:r>
      <w:r w:rsidRPr="00742642">
        <w:rPr>
          <w:i/>
        </w:rPr>
        <w:t>et al.</w:t>
      </w:r>
      <w:r w:rsidRPr="00742642">
        <w:t xml:space="preserve"> Efeito da inovação e difusão tecnológica sobre a mobilidade intersetorial de trabalhadores. </w:t>
      </w:r>
      <w:r w:rsidR="00963F88" w:rsidRPr="00742642">
        <w:rPr>
          <w:b/>
        </w:rPr>
        <w:t>Dissertação (Mestrado em Economia)</w:t>
      </w:r>
      <w:r w:rsidR="00C7258D" w:rsidRPr="00742642">
        <w:rPr>
          <w:b/>
        </w:rPr>
        <w:t xml:space="preserve"> </w:t>
      </w:r>
      <w:r w:rsidR="00C7258D" w:rsidRPr="00742642">
        <w:t xml:space="preserve">– </w:t>
      </w:r>
      <w:r w:rsidR="00963F88" w:rsidRPr="00742642">
        <w:t>UFJF,</w:t>
      </w:r>
      <w:r w:rsidRPr="00742642">
        <w:t xml:space="preserve"> 2012.</w:t>
      </w:r>
    </w:p>
    <w:p w:rsidR="00D839D2" w:rsidRPr="00742642" w:rsidRDefault="00D839D2" w:rsidP="00742642">
      <w:pPr>
        <w:jc w:val="both"/>
      </w:pPr>
    </w:p>
    <w:p w:rsidR="00095653" w:rsidRPr="00742642" w:rsidRDefault="00095653" w:rsidP="00742642">
      <w:pPr>
        <w:jc w:val="both"/>
      </w:pPr>
    </w:p>
    <w:p w:rsidR="002F585D" w:rsidRPr="00742642" w:rsidRDefault="002F585D"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C7258D" w:rsidRPr="00742642" w:rsidRDefault="00C7258D" w:rsidP="00742642">
      <w:pPr>
        <w:jc w:val="both"/>
      </w:pPr>
    </w:p>
    <w:p w:rsidR="00C7258D" w:rsidRPr="00742642" w:rsidRDefault="00C7258D" w:rsidP="00742642">
      <w:pPr>
        <w:jc w:val="both"/>
      </w:pPr>
    </w:p>
    <w:p w:rsidR="00C7258D" w:rsidRPr="00742642" w:rsidRDefault="00C7258D" w:rsidP="00742642">
      <w:pPr>
        <w:jc w:val="both"/>
      </w:pPr>
    </w:p>
    <w:p w:rsidR="00C7258D" w:rsidRPr="00742642" w:rsidRDefault="00C7258D" w:rsidP="00742642">
      <w:pPr>
        <w:jc w:val="both"/>
      </w:pPr>
    </w:p>
    <w:p w:rsidR="00C7258D" w:rsidRPr="00742642" w:rsidRDefault="00C7258D" w:rsidP="00742642">
      <w:pPr>
        <w:jc w:val="both"/>
      </w:pPr>
    </w:p>
    <w:p w:rsidR="00C7258D" w:rsidRPr="00742642" w:rsidRDefault="00C7258D" w:rsidP="00742642">
      <w:pPr>
        <w:jc w:val="both"/>
      </w:pPr>
    </w:p>
    <w:p w:rsidR="00C7258D" w:rsidRPr="00742642" w:rsidRDefault="00C7258D" w:rsidP="00742642">
      <w:pPr>
        <w:jc w:val="both"/>
      </w:pPr>
    </w:p>
    <w:p w:rsidR="007D4A89" w:rsidRPr="00742642" w:rsidRDefault="007D4A89" w:rsidP="00742642">
      <w:pPr>
        <w:jc w:val="both"/>
      </w:pPr>
    </w:p>
    <w:p w:rsidR="007D4A89" w:rsidRPr="00742642" w:rsidRDefault="007D4A89" w:rsidP="00742642">
      <w:pPr>
        <w:jc w:val="both"/>
      </w:pPr>
    </w:p>
    <w:p w:rsidR="007D4A89" w:rsidRPr="00742642" w:rsidRDefault="007D4A89" w:rsidP="00742642">
      <w:pPr>
        <w:jc w:val="both"/>
      </w:pPr>
    </w:p>
    <w:p w:rsidR="002F585D" w:rsidRPr="00742642" w:rsidRDefault="002F585D" w:rsidP="00742642">
      <w:pPr>
        <w:jc w:val="center"/>
        <w:rPr>
          <w:b/>
        </w:rPr>
      </w:pPr>
      <w:r w:rsidRPr="00742642">
        <w:rPr>
          <w:b/>
        </w:rPr>
        <w:t>APÊNDICE</w:t>
      </w:r>
    </w:p>
    <w:p w:rsidR="002F585D" w:rsidRPr="00742642" w:rsidRDefault="002F585D" w:rsidP="00742642">
      <w:pPr>
        <w:jc w:val="both"/>
      </w:pPr>
    </w:p>
    <w:p w:rsidR="007D4A89" w:rsidRPr="00742642" w:rsidRDefault="007D4A89" w:rsidP="00742642">
      <w:pPr>
        <w:jc w:val="center"/>
      </w:pPr>
      <w:r w:rsidRPr="00742642">
        <w:rPr>
          <w:b/>
        </w:rPr>
        <w:t>Quadro 1:</w:t>
      </w:r>
      <w:r w:rsidRPr="00742642">
        <w:t xml:space="preserve"> Divisões do CNAE 95 – Indústria de Transformação</w:t>
      </w:r>
    </w:p>
    <w:bookmarkStart w:id="1" w:name="_MON_1583815796"/>
    <w:bookmarkEnd w:id="1"/>
    <w:p w:rsidR="002F585D" w:rsidRPr="00742642" w:rsidRDefault="00E82A98" w:rsidP="00742642">
      <w:pPr>
        <w:jc w:val="center"/>
        <w:rPr>
          <w:lang w:eastAsia="pt-BR"/>
        </w:rPr>
      </w:pPr>
      <w:r w:rsidRPr="00742642">
        <w:rPr>
          <w:lang w:eastAsia="pt-BR"/>
        </w:rPr>
        <w:object w:dxaOrig="7214" w:dyaOrig="7643">
          <v:shape id="_x0000_i1027" type="#_x0000_t75" style="width:329.25pt;height:331.5pt" o:ole="">
            <v:imagedata r:id="rId16" o:title="" croptop="2576f" cropleft="-153f"/>
          </v:shape>
          <o:OLEObject Type="Embed" ProgID="Excel.Sheet.12" ShapeID="_x0000_i1027" DrawAspect="Content" ObjectID="_1590980181" r:id="rId17"/>
        </w:object>
      </w:r>
    </w:p>
    <w:p w:rsidR="00E82A98" w:rsidRPr="00742642" w:rsidRDefault="00E82A98" w:rsidP="00742642">
      <w:pPr>
        <w:jc w:val="center"/>
        <w:rPr>
          <w:lang w:eastAsia="pt-BR"/>
        </w:rPr>
      </w:pPr>
    </w:p>
    <w:p w:rsidR="00E82A98" w:rsidRDefault="00E82A98"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Default="00F46701" w:rsidP="00742642">
      <w:pPr>
        <w:jc w:val="center"/>
        <w:rPr>
          <w:lang w:eastAsia="pt-BR"/>
        </w:rPr>
      </w:pPr>
    </w:p>
    <w:p w:rsidR="00F46701" w:rsidRPr="00742642" w:rsidRDefault="00F46701" w:rsidP="00742642">
      <w:pPr>
        <w:jc w:val="center"/>
        <w:rPr>
          <w:lang w:eastAsia="pt-BR"/>
        </w:rPr>
      </w:pPr>
    </w:p>
    <w:p w:rsidR="00E82A98" w:rsidRPr="00742642" w:rsidRDefault="00E82A98" w:rsidP="00742642">
      <w:pPr>
        <w:spacing w:line="360" w:lineRule="auto"/>
        <w:ind w:firstLine="567"/>
        <w:jc w:val="center"/>
        <w:rPr>
          <w:lang w:eastAsia="pt-BR"/>
        </w:rPr>
      </w:pPr>
      <w:r w:rsidRPr="00742642">
        <w:rPr>
          <w:b/>
          <w:lang w:eastAsia="pt-BR"/>
        </w:rPr>
        <w:lastRenderedPageBreak/>
        <w:t>Quadro 2:</w:t>
      </w:r>
      <w:r w:rsidRPr="00742642">
        <w:rPr>
          <w:lang w:eastAsia="pt-BR"/>
        </w:rPr>
        <w:t xml:space="preserve"> Descrição das variáveis utilizadas na regressão</w:t>
      </w:r>
    </w:p>
    <w:p w:rsidR="00E82A98" w:rsidRPr="00742642" w:rsidRDefault="00E82A98" w:rsidP="00742642">
      <w:pPr>
        <w:spacing w:line="360" w:lineRule="auto"/>
        <w:ind w:left="-284"/>
        <w:jc w:val="both"/>
        <w:rPr>
          <w:sz w:val="20"/>
          <w:szCs w:val="20"/>
          <w:lang w:eastAsia="pt-BR"/>
        </w:rPr>
      </w:pPr>
      <w:r w:rsidRPr="00742642">
        <w:rPr>
          <w:lang w:eastAsia="pt-BR"/>
        </w:rPr>
        <w:object w:dxaOrig="9859" w:dyaOrig="2613">
          <v:shape id="_x0000_i1028" type="#_x0000_t75" style="width:480pt;height:126.75pt" o:ole="">
            <v:imagedata r:id="rId18" o:title=""/>
          </v:shape>
          <o:OLEObject Type="Embed" ProgID="Excel.Sheet.12" ShapeID="_x0000_i1028" DrawAspect="Content" ObjectID="_1590980182" r:id="rId19"/>
        </w:object>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sz w:val="20"/>
          <w:szCs w:val="20"/>
          <w:lang w:eastAsia="pt-BR"/>
        </w:rPr>
        <w:t xml:space="preserve">         (</w:t>
      </w:r>
      <w:proofErr w:type="gramStart"/>
      <w:r w:rsidRPr="00742642">
        <w:rPr>
          <w:sz w:val="20"/>
          <w:szCs w:val="20"/>
          <w:lang w:eastAsia="pt-BR"/>
        </w:rPr>
        <w:t>continua</w:t>
      </w:r>
      <w:proofErr w:type="gramEnd"/>
      <w:r w:rsidRPr="00742642">
        <w:rPr>
          <w:sz w:val="20"/>
          <w:szCs w:val="20"/>
          <w:lang w:eastAsia="pt-BR"/>
        </w:rPr>
        <w:t>)</w:t>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r w:rsidRPr="00742642">
        <w:rPr>
          <w:lang w:eastAsia="pt-BR"/>
        </w:rPr>
        <w:tab/>
      </w:r>
    </w:p>
    <w:p w:rsidR="00117C8A" w:rsidRPr="00742642" w:rsidRDefault="00117C8A" w:rsidP="00742642">
      <w:pPr>
        <w:ind w:left="-284"/>
        <w:jc w:val="both"/>
        <w:rPr>
          <w:lang w:eastAsia="pt-BR"/>
        </w:rPr>
      </w:pPr>
    </w:p>
    <w:bookmarkStart w:id="2" w:name="_MON_1583815988"/>
    <w:bookmarkEnd w:id="2"/>
    <w:p w:rsidR="00E82A98" w:rsidRPr="00742642" w:rsidRDefault="00117C8A" w:rsidP="00742642">
      <w:pPr>
        <w:ind w:left="-284"/>
        <w:jc w:val="both"/>
        <w:rPr>
          <w:lang w:eastAsia="pt-BR"/>
        </w:rPr>
      </w:pPr>
      <w:r w:rsidRPr="00742642">
        <w:rPr>
          <w:lang w:eastAsia="pt-BR"/>
        </w:rPr>
        <w:object w:dxaOrig="9859" w:dyaOrig="13857">
          <v:shape id="_x0000_i1029" type="#_x0000_t75" style="width:480pt;height:649.5pt" o:ole="">
            <v:imagedata r:id="rId20" o:title=""/>
          </v:shape>
          <o:OLEObject Type="Embed" ProgID="Excel.Sheet.12" ShapeID="_x0000_i1029" DrawAspect="Content" ObjectID="_1590980183" r:id="rId21"/>
        </w:object>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lang w:eastAsia="pt-BR"/>
        </w:rPr>
        <w:tab/>
      </w:r>
      <w:r w:rsidR="00E82A98" w:rsidRPr="00742642">
        <w:rPr>
          <w:sz w:val="20"/>
          <w:szCs w:val="20"/>
          <w:lang w:eastAsia="pt-BR"/>
        </w:rPr>
        <w:t>(</w:t>
      </w:r>
      <w:proofErr w:type="gramStart"/>
      <w:r w:rsidR="00E82A98" w:rsidRPr="00742642">
        <w:rPr>
          <w:sz w:val="20"/>
          <w:szCs w:val="20"/>
          <w:lang w:eastAsia="pt-BR"/>
        </w:rPr>
        <w:t>continuação</w:t>
      </w:r>
      <w:proofErr w:type="gramEnd"/>
      <w:r w:rsidR="00E82A98" w:rsidRPr="00742642">
        <w:rPr>
          <w:sz w:val="20"/>
          <w:szCs w:val="20"/>
          <w:lang w:eastAsia="pt-BR"/>
        </w:rPr>
        <w:t>)</w:t>
      </w:r>
    </w:p>
    <w:p w:rsidR="00E82A98" w:rsidRPr="00572F5F" w:rsidRDefault="00E82A98" w:rsidP="00742642">
      <w:pPr>
        <w:jc w:val="center"/>
      </w:pPr>
      <w:r w:rsidRPr="00742642">
        <w:rPr>
          <w:lang w:eastAsia="pt-BR"/>
        </w:rPr>
        <w:object w:dxaOrig="9807" w:dyaOrig="4327">
          <v:shape id="_x0000_i1030" type="#_x0000_t75" style="width:468pt;height:213pt" o:ole="">
            <v:imagedata r:id="rId22" o:title=""/>
          </v:shape>
          <o:OLEObject Type="Embed" ProgID="Excel.Sheet.12" ShapeID="_x0000_i1030" DrawAspect="Content" ObjectID="_1590980184" r:id="rId23"/>
        </w:object>
      </w:r>
    </w:p>
    <w:sectPr w:rsidR="00E82A98" w:rsidRPr="00572F5F" w:rsidSect="00822A8D">
      <w:footerReference w:type="defaul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2FB" w:rsidRDefault="005322FB" w:rsidP="00452F55">
      <w:r>
        <w:separator/>
      </w:r>
    </w:p>
  </w:endnote>
  <w:endnote w:type="continuationSeparator" w:id="0">
    <w:p w:rsidR="005322FB" w:rsidRDefault="005322FB" w:rsidP="0045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629452"/>
      <w:docPartObj>
        <w:docPartGallery w:val="Page Numbers (Bottom of Page)"/>
        <w:docPartUnique/>
      </w:docPartObj>
    </w:sdtPr>
    <w:sdtContent>
      <w:p w:rsidR="00773D22" w:rsidRDefault="00773D22">
        <w:pPr>
          <w:pStyle w:val="Rodap"/>
          <w:jc w:val="right"/>
        </w:pPr>
        <w:r>
          <w:fldChar w:fldCharType="begin"/>
        </w:r>
        <w:r>
          <w:instrText>PAGE   \* MERGEFORMAT</w:instrText>
        </w:r>
        <w:r>
          <w:fldChar w:fldCharType="separate"/>
        </w:r>
        <w:r w:rsidR="00F46701">
          <w:rPr>
            <w:noProof/>
          </w:rPr>
          <w:t>20</w:t>
        </w:r>
        <w:r>
          <w:fldChar w:fldCharType="end"/>
        </w:r>
      </w:p>
    </w:sdtContent>
  </w:sdt>
  <w:p w:rsidR="00773D22" w:rsidRDefault="00773D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2FB" w:rsidRDefault="005322FB" w:rsidP="00452F55">
      <w:r>
        <w:separator/>
      </w:r>
    </w:p>
  </w:footnote>
  <w:footnote w:type="continuationSeparator" w:id="0">
    <w:p w:rsidR="005322FB" w:rsidRDefault="005322FB" w:rsidP="00452F55">
      <w:r>
        <w:continuationSeparator/>
      </w:r>
    </w:p>
  </w:footnote>
  <w:footnote w:id="1">
    <w:p w:rsidR="00742642" w:rsidRPr="00F46701" w:rsidRDefault="00742642">
      <w:pPr>
        <w:pStyle w:val="Textodenotaderodap"/>
      </w:pPr>
      <w:r w:rsidRPr="00F46701">
        <w:rPr>
          <w:rStyle w:val="Refdenotaderodap"/>
        </w:rPr>
        <w:footnoteRef/>
      </w:r>
      <w:r w:rsidRPr="00F46701">
        <w:t xml:space="preserve"> Doutoranda em Economia da Universidade Federal da Paraíba (UFPB/PPGE).</w:t>
      </w:r>
    </w:p>
    <w:p w:rsidR="00742642" w:rsidRPr="00F46701" w:rsidRDefault="00742642">
      <w:pPr>
        <w:pStyle w:val="Textodenotaderodap"/>
      </w:pPr>
      <w:proofErr w:type="spellStart"/>
      <w:r w:rsidRPr="00F46701">
        <w:t>Email</w:t>
      </w:r>
      <w:proofErr w:type="spellEnd"/>
      <w:r w:rsidRPr="00F46701">
        <w:t xml:space="preserve">: </w:t>
      </w:r>
      <w:hyperlink r:id="rId1" w:history="1">
        <w:r w:rsidRPr="00F46701">
          <w:rPr>
            <w:rStyle w:val="Hyperlink"/>
          </w:rPr>
          <w:t>marinamonteirot@hotmail.com</w:t>
        </w:r>
      </w:hyperlink>
      <w:r w:rsidRPr="00F46701">
        <w:t xml:space="preserve"> </w:t>
      </w:r>
    </w:p>
  </w:footnote>
  <w:footnote w:id="2">
    <w:p w:rsidR="00D257D4" w:rsidRPr="00F46701" w:rsidRDefault="00D257D4">
      <w:pPr>
        <w:pStyle w:val="Textodenotaderodap"/>
      </w:pPr>
      <w:r w:rsidRPr="00F46701">
        <w:rPr>
          <w:rStyle w:val="Refdenotaderodap"/>
        </w:rPr>
        <w:footnoteRef/>
      </w:r>
      <w:r w:rsidRPr="00F46701">
        <w:t xml:space="preserve"> Professora Adjunta da </w:t>
      </w:r>
      <w:r w:rsidRPr="00F46701">
        <w:t xml:space="preserve">Universidade Federal de Pernambuco </w:t>
      </w:r>
      <w:r w:rsidRPr="00F46701">
        <w:t>(UFPE/CAA).</w:t>
      </w:r>
    </w:p>
    <w:p w:rsidR="00D257D4" w:rsidRPr="00F46701" w:rsidRDefault="00D257D4">
      <w:pPr>
        <w:pStyle w:val="Textodenotaderodap"/>
      </w:pPr>
      <w:r w:rsidRPr="00F46701">
        <w:t xml:space="preserve">E-mail: </w:t>
      </w:r>
      <w:hyperlink r:id="rId2" w:history="1">
        <w:r w:rsidRPr="00F46701">
          <w:rPr>
            <w:rStyle w:val="Hyperlink"/>
          </w:rPr>
          <w:t>roberta_rocha_pe@yahoo.com.br</w:t>
        </w:r>
      </w:hyperlink>
      <w:r w:rsidRPr="00F46701">
        <w:t xml:space="preserve"> </w:t>
      </w:r>
    </w:p>
  </w:footnote>
  <w:footnote w:id="3">
    <w:p w:rsidR="00D257D4" w:rsidRPr="00F46701" w:rsidRDefault="00D257D4">
      <w:pPr>
        <w:pStyle w:val="Textodenotaderodap"/>
      </w:pPr>
      <w:r w:rsidRPr="00F46701">
        <w:rPr>
          <w:rStyle w:val="Refdenotaderodap"/>
        </w:rPr>
        <w:footnoteRef/>
      </w:r>
      <w:r w:rsidRPr="00F46701">
        <w:t xml:space="preserve"> Professora Adjunta da Universidade Federal Rural de Pernambuco (UFRPE).</w:t>
      </w:r>
    </w:p>
    <w:p w:rsidR="00D257D4" w:rsidRPr="00F46701" w:rsidRDefault="00D257D4">
      <w:pPr>
        <w:pStyle w:val="Textodenotaderodap"/>
      </w:pPr>
      <w:r w:rsidRPr="00F46701">
        <w:t xml:space="preserve">E-mail </w:t>
      </w:r>
      <w:hyperlink r:id="rId3" w:history="1">
        <w:r w:rsidRPr="00F46701">
          <w:rPr>
            <w:rStyle w:val="Hyperlink"/>
          </w:rPr>
          <w:t>smfpcv@hotmail.com</w:t>
        </w:r>
      </w:hyperlink>
      <w:r w:rsidRPr="00F46701">
        <w:t xml:space="preserve"> </w:t>
      </w:r>
    </w:p>
  </w:footnote>
  <w:footnote w:id="4">
    <w:p w:rsidR="00773D22" w:rsidRPr="00F46701" w:rsidRDefault="00773D22" w:rsidP="00D205C6">
      <w:pPr>
        <w:pStyle w:val="Textodenotaderodap"/>
        <w:jc w:val="both"/>
      </w:pPr>
      <w:r w:rsidRPr="00F46701">
        <w:rPr>
          <w:rStyle w:val="Refdenotaderodap"/>
        </w:rPr>
        <w:footnoteRef/>
      </w:r>
      <w:r w:rsidRPr="00F46701">
        <w:t xml:space="preserve"> Para maiores informações consultar o </w:t>
      </w:r>
      <w:r w:rsidRPr="00F46701">
        <w:rPr>
          <w:i/>
        </w:rPr>
        <w:t>Programa de Disseminação de Estatísticas do Trabalho</w:t>
      </w:r>
      <w:r w:rsidRPr="00F46701">
        <w:t xml:space="preserve"> (PDET) disponível em </w:t>
      </w:r>
      <w:hyperlink r:id="rId4" w:history="1">
        <w:r w:rsidRPr="00F46701">
          <w:rPr>
            <w:rStyle w:val="Hyperlink"/>
          </w:rPr>
          <w:t>http://www.mte.gov.br/pdet/index.asp</w:t>
        </w:r>
      </w:hyperlink>
      <w:r w:rsidRPr="00F46701">
        <w:t>.</w:t>
      </w:r>
    </w:p>
  </w:footnote>
  <w:footnote w:id="5">
    <w:p w:rsidR="00773D22" w:rsidRDefault="00773D22">
      <w:pPr>
        <w:pStyle w:val="Textodenotaderodap"/>
      </w:pPr>
      <w:r w:rsidRPr="00F46701">
        <w:rPr>
          <w:rStyle w:val="Refdenotaderodap"/>
        </w:rPr>
        <w:footnoteRef/>
      </w:r>
      <w:r w:rsidRPr="00F46701">
        <w:t xml:space="preserve"> Variáveis descritas em detalhes no apêndice.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55"/>
    <w:rsid w:val="00004436"/>
    <w:rsid w:val="00027299"/>
    <w:rsid w:val="000406CA"/>
    <w:rsid w:val="00075D58"/>
    <w:rsid w:val="00090CC1"/>
    <w:rsid w:val="00095653"/>
    <w:rsid w:val="000A01F8"/>
    <w:rsid w:val="000A563C"/>
    <w:rsid w:val="000A6950"/>
    <w:rsid w:val="000C7C3E"/>
    <w:rsid w:val="000E2D16"/>
    <w:rsid w:val="000E750F"/>
    <w:rsid w:val="0011309E"/>
    <w:rsid w:val="00117C8A"/>
    <w:rsid w:val="00164D19"/>
    <w:rsid w:val="00185791"/>
    <w:rsid w:val="001978A4"/>
    <w:rsid w:val="001A3068"/>
    <w:rsid w:val="001B7D83"/>
    <w:rsid w:val="001C7C98"/>
    <w:rsid w:val="001D62BD"/>
    <w:rsid w:val="001F347C"/>
    <w:rsid w:val="00201691"/>
    <w:rsid w:val="002260B9"/>
    <w:rsid w:val="00226807"/>
    <w:rsid w:val="00237ABB"/>
    <w:rsid w:val="00244FDF"/>
    <w:rsid w:val="00263329"/>
    <w:rsid w:val="002769BF"/>
    <w:rsid w:val="002829CB"/>
    <w:rsid w:val="00292901"/>
    <w:rsid w:val="002C586B"/>
    <w:rsid w:val="002C674A"/>
    <w:rsid w:val="002E06E4"/>
    <w:rsid w:val="002E2921"/>
    <w:rsid w:val="002E77BA"/>
    <w:rsid w:val="002F5715"/>
    <w:rsid w:val="002F585D"/>
    <w:rsid w:val="00310421"/>
    <w:rsid w:val="00313E43"/>
    <w:rsid w:val="00321B51"/>
    <w:rsid w:val="00347E40"/>
    <w:rsid w:val="00370BA4"/>
    <w:rsid w:val="003A0ABE"/>
    <w:rsid w:val="003B2B25"/>
    <w:rsid w:val="003B5AE7"/>
    <w:rsid w:val="003F4DB6"/>
    <w:rsid w:val="00402299"/>
    <w:rsid w:val="0040603E"/>
    <w:rsid w:val="00452F55"/>
    <w:rsid w:val="004566C3"/>
    <w:rsid w:val="00480E4A"/>
    <w:rsid w:val="00481C42"/>
    <w:rsid w:val="00496A4E"/>
    <w:rsid w:val="004E318C"/>
    <w:rsid w:val="004F18B9"/>
    <w:rsid w:val="004F5C0B"/>
    <w:rsid w:val="0051457C"/>
    <w:rsid w:val="00525EC0"/>
    <w:rsid w:val="005322FB"/>
    <w:rsid w:val="00551F15"/>
    <w:rsid w:val="005577AE"/>
    <w:rsid w:val="0056099B"/>
    <w:rsid w:val="005708B1"/>
    <w:rsid w:val="00572F5F"/>
    <w:rsid w:val="005B7A70"/>
    <w:rsid w:val="005C2939"/>
    <w:rsid w:val="005F1795"/>
    <w:rsid w:val="00635EAA"/>
    <w:rsid w:val="00642460"/>
    <w:rsid w:val="0064618E"/>
    <w:rsid w:val="00653D5A"/>
    <w:rsid w:val="006871E7"/>
    <w:rsid w:val="006B2D6D"/>
    <w:rsid w:val="006C0874"/>
    <w:rsid w:val="006D3BEC"/>
    <w:rsid w:val="006D7117"/>
    <w:rsid w:val="006F0AFA"/>
    <w:rsid w:val="006F2BD0"/>
    <w:rsid w:val="006F4016"/>
    <w:rsid w:val="006F5ACA"/>
    <w:rsid w:val="006F6E83"/>
    <w:rsid w:val="007406BD"/>
    <w:rsid w:val="0074115B"/>
    <w:rsid w:val="00742642"/>
    <w:rsid w:val="0074302B"/>
    <w:rsid w:val="00756813"/>
    <w:rsid w:val="00773D22"/>
    <w:rsid w:val="007802A4"/>
    <w:rsid w:val="00787FA1"/>
    <w:rsid w:val="00795905"/>
    <w:rsid w:val="00796CC6"/>
    <w:rsid w:val="007A19AF"/>
    <w:rsid w:val="007A41AD"/>
    <w:rsid w:val="007A4542"/>
    <w:rsid w:val="007C473D"/>
    <w:rsid w:val="007D4A89"/>
    <w:rsid w:val="007E2702"/>
    <w:rsid w:val="007F1AA9"/>
    <w:rsid w:val="0080038D"/>
    <w:rsid w:val="008046EF"/>
    <w:rsid w:val="00805569"/>
    <w:rsid w:val="00813810"/>
    <w:rsid w:val="00822A8D"/>
    <w:rsid w:val="00831D2F"/>
    <w:rsid w:val="0084454B"/>
    <w:rsid w:val="00844F3F"/>
    <w:rsid w:val="008512DD"/>
    <w:rsid w:val="00867073"/>
    <w:rsid w:val="008A2E54"/>
    <w:rsid w:val="008C1D3F"/>
    <w:rsid w:val="008C2F66"/>
    <w:rsid w:val="008C476F"/>
    <w:rsid w:val="009068E4"/>
    <w:rsid w:val="00913AAD"/>
    <w:rsid w:val="0093422F"/>
    <w:rsid w:val="00941476"/>
    <w:rsid w:val="0094775A"/>
    <w:rsid w:val="00963F88"/>
    <w:rsid w:val="00964678"/>
    <w:rsid w:val="009745BD"/>
    <w:rsid w:val="00990045"/>
    <w:rsid w:val="00994317"/>
    <w:rsid w:val="00995000"/>
    <w:rsid w:val="00996C35"/>
    <w:rsid w:val="009A7352"/>
    <w:rsid w:val="009B68DA"/>
    <w:rsid w:val="009E2E0E"/>
    <w:rsid w:val="009E3111"/>
    <w:rsid w:val="009F4FE3"/>
    <w:rsid w:val="009F7BF5"/>
    <w:rsid w:val="00A10552"/>
    <w:rsid w:val="00A155A5"/>
    <w:rsid w:val="00A17105"/>
    <w:rsid w:val="00A3499C"/>
    <w:rsid w:val="00A41847"/>
    <w:rsid w:val="00A638B0"/>
    <w:rsid w:val="00A642B2"/>
    <w:rsid w:val="00A6467F"/>
    <w:rsid w:val="00A65FD7"/>
    <w:rsid w:val="00A7192A"/>
    <w:rsid w:val="00A91F3C"/>
    <w:rsid w:val="00AB0B3E"/>
    <w:rsid w:val="00AC4327"/>
    <w:rsid w:val="00AC75E5"/>
    <w:rsid w:val="00B15647"/>
    <w:rsid w:val="00B22B47"/>
    <w:rsid w:val="00B245BB"/>
    <w:rsid w:val="00B44E08"/>
    <w:rsid w:val="00B503E0"/>
    <w:rsid w:val="00B5501A"/>
    <w:rsid w:val="00B63011"/>
    <w:rsid w:val="00B64021"/>
    <w:rsid w:val="00B6456D"/>
    <w:rsid w:val="00B70482"/>
    <w:rsid w:val="00B73A17"/>
    <w:rsid w:val="00B742EA"/>
    <w:rsid w:val="00B83D61"/>
    <w:rsid w:val="00B974C3"/>
    <w:rsid w:val="00BB2825"/>
    <w:rsid w:val="00BB6706"/>
    <w:rsid w:val="00BC2D37"/>
    <w:rsid w:val="00BD7FED"/>
    <w:rsid w:val="00BE1588"/>
    <w:rsid w:val="00BE725B"/>
    <w:rsid w:val="00C13382"/>
    <w:rsid w:val="00C62A33"/>
    <w:rsid w:val="00C6505D"/>
    <w:rsid w:val="00C66D91"/>
    <w:rsid w:val="00C7258D"/>
    <w:rsid w:val="00C75C15"/>
    <w:rsid w:val="00C9460C"/>
    <w:rsid w:val="00CA0964"/>
    <w:rsid w:val="00CA09BD"/>
    <w:rsid w:val="00CB3DF4"/>
    <w:rsid w:val="00CE68E4"/>
    <w:rsid w:val="00D05BF0"/>
    <w:rsid w:val="00D121FF"/>
    <w:rsid w:val="00D205C6"/>
    <w:rsid w:val="00D22B11"/>
    <w:rsid w:val="00D257D4"/>
    <w:rsid w:val="00D61314"/>
    <w:rsid w:val="00D66E6B"/>
    <w:rsid w:val="00D839D2"/>
    <w:rsid w:val="00D85C4F"/>
    <w:rsid w:val="00D90723"/>
    <w:rsid w:val="00D9154B"/>
    <w:rsid w:val="00DA18B9"/>
    <w:rsid w:val="00DC7ECB"/>
    <w:rsid w:val="00DD1A4D"/>
    <w:rsid w:val="00DE16C0"/>
    <w:rsid w:val="00DE324D"/>
    <w:rsid w:val="00DE4009"/>
    <w:rsid w:val="00DE7360"/>
    <w:rsid w:val="00DF0B37"/>
    <w:rsid w:val="00DF3726"/>
    <w:rsid w:val="00DF4EE5"/>
    <w:rsid w:val="00E1719C"/>
    <w:rsid w:val="00E27ACE"/>
    <w:rsid w:val="00E3068A"/>
    <w:rsid w:val="00E31BE7"/>
    <w:rsid w:val="00E74416"/>
    <w:rsid w:val="00E801D5"/>
    <w:rsid w:val="00E82A98"/>
    <w:rsid w:val="00E908CE"/>
    <w:rsid w:val="00E92F9C"/>
    <w:rsid w:val="00E93069"/>
    <w:rsid w:val="00EA7063"/>
    <w:rsid w:val="00EC3D95"/>
    <w:rsid w:val="00ED0A20"/>
    <w:rsid w:val="00ED222E"/>
    <w:rsid w:val="00EE65E9"/>
    <w:rsid w:val="00F07F9C"/>
    <w:rsid w:val="00F171D6"/>
    <w:rsid w:val="00F265A4"/>
    <w:rsid w:val="00F2798C"/>
    <w:rsid w:val="00F37F2C"/>
    <w:rsid w:val="00F46701"/>
    <w:rsid w:val="00F46D8C"/>
    <w:rsid w:val="00F572C9"/>
    <w:rsid w:val="00F65CE7"/>
    <w:rsid w:val="00F72D79"/>
    <w:rsid w:val="00F832C9"/>
    <w:rsid w:val="00F834D6"/>
    <w:rsid w:val="00F878F8"/>
    <w:rsid w:val="00FA2169"/>
    <w:rsid w:val="00FB6143"/>
    <w:rsid w:val="00FC67BE"/>
    <w:rsid w:val="00FE4316"/>
    <w:rsid w:val="00FE6371"/>
    <w:rsid w:val="00FF26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638988-0A3A-49AA-A4F5-25E830C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2C9"/>
    <w:rPr>
      <w:sz w:val="24"/>
      <w:szCs w:val="24"/>
      <w:lang w:eastAsia="en-US"/>
    </w:rPr>
  </w:style>
  <w:style w:type="paragraph" w:styleId="Ttulo1">
    <w:name w:val="heading 1"/>
    <w:basedOn w:val="Normal"/>
    <w:next w:val="Normal"/>
    <w:link w:val="Ttulo1Char"/>
    <w:uiPriority w:val="99"/>
    <w:qFormat/>
    <w:rsid w:val="008512DD"/>
    <w:pPr>
      <w:keepNext/>
      <w:outlineLvl w:val="0"/>
    </w:pPr>
    <w:rPr>
      <w:rFonts w:ascii="Cambria" w:hAnsi="Cambria"/>
      <w:b/>
      <w:bCs/>
      <w:kern w:val="32"/>
      <w:sz w:val="32"/>
      <w:szCs w:val="32"/>
    </w:rPr>
  </w:style>
  <w:style w:type="paragraph" w:styleId="Ttulo2">
    <w:name w:val="heading 2"/>
    <w:basedOn w:val="Normal"/>
    <w:next w:val="Normal"/>
    <w:link w:val="Ttulo2Char"/>
    <w:uiPriority w:val="99"/>
    <w:qFormat/>
    <w:rsid w:val="008512DD"/>
    <w:pPr>
      <w:keepNext/>
      <w:spacing w:before="480" w:after="240" w:line="360" w:lineRule="auto"/>
      <w:outlineLvl w:val="1"/>
    </w:pPr>
    <w:rPr>
      <w:rFonts w:ascii="Cambria" w:hAnsi="Cambria"/>
      <w:b/>
      <w:bCs/>
      <w:i/>
      <w:iCs/>
      <w:sz w:val="28"/>
      <w:szCs w:val="28"/>
    </w:rPr>
  </w:style>
  <w:style w:type="paragraph" w:styleId="Ttulo3">
    <w:name w:val="heading 3"/>
    <w:basedOn w:val="Normal"/>
    <w:next w:val="Normal"/>
    <w:link w:val="Ttulo3Char"/>
    <w:uiPriority w:val="99"/>
    <w:qFormat/>
    <w:rsid w:val="008512DD"/>
    <w:pPr>
      <w:keepNext/>
      <w:spacing w:before="240" w:after="240" w:line="360" w:lineRule="auto"/>
      <w:outlineLvl w:val="2"/>
    </w:pPr>
    <w:rPr>
      <w:rFonts w:ascii="Cambria" w:hAnsi="Cambria"/>
      <w:b/>
      <w:bCs/>
      <w:sz w:val="26"/>
      <w:szCs w:val="26"/>
    </w:rPr>
  </w:style>
  <w:style w:type="paragraph" w:styleId="Ttulo4">
    <w:name w:val="heading 4"/>
    <w:basedOn w:val="Normal"/>
    <w:next w:val="Normal"/>
    <w:link w:val="Ttulo4Char"/>
    <w:uiPriority w:val="99"/>
    <w:qFormat/>
    <w:rsid w:val="008512DD"/>
    <w:pPr>
      <w:keepNext/>
      <w:spacing w:line="360" w:lineRule="auto"/>
      <w:jc w:val="right"/>
      <w:outlineLvl w:val="3"/>
    </w:pPr>
    <w:rPr>
      <w:rFonts w:ascii="Calibri" w:hAnsi="Calibri"/>
      <w:b/>
      <w:bCs/>
      <w:sz w:val="28"/>
      <w:szCs w:val="28"/>
    </w:rPr>
  </w:style>
  <w:style w:type="paragraph" w:styleId="Ttulo5">
    <w:name w:val="heading 5"/>
    <w:basedOn w:val="Normal"/>
    <w:next w:val="Normal"/>
    <w:link w:val="Ttulo5Char"/>
    <w:uiPriority w:val="99"/>
    <w:qFormat/>
    <w:rsid w:val="008512DD"/>
    <w:pPr>
      <w:spacing w:before="240" w:after="240"/>
      <w:outlineLvl w:val="4"/>
    </w:pPr>
    <w:rPr>
      <w:rFonts w:ascii="Calibri" w:hAnsi="Calibri"/>
      <w:b/>
      <w:bCs/>
      <w:i/>
      <w:iCs/>
      <w:sz w:val="26"/>
      <w:szCs w:val="26"/>
    </w:rPr>
  </w:style>
  <w:style w:type="paragraph" w:styleId="Ttulo6">
    <w:name w:val="heading 6"/>
    <w:basedOn w:val="Normal"/>
    <w:next w:val="Normal"/>
    <w:link w:val="Ttulo6Char"/>
    <w:uiPriority w:val="99"/>
    <w:qFormat/>
    <w:rsid w:val="008512DD"/>
    <w:pPr>
      <w:spacing w:before="240" w:after="60"/>
      <w:outlineLvl w:val="5"/>
    </w:pPr>
    <w:rPr>
      <w:rFonts w:ascii="Calibri" w:hAnsi="Calibri"/>
      <w:b/>
      <w:bCs/>
      <w:sz w:val="22"/>
      <w:szCs w:val="22"/>
    </w:rPr>
  </w:style>
  <w:style w:type="paragraph" w:styleId="Ttulo7">
    <w:name w:val="heading 7"/>
    <w:basedOn w:val="Normal"/>
    <w:next w:val="Normal"/>
    <w:link w:val="Ttulo7Char"/>
    <w:uiPriority w:val="99"/>
    <w:qFormat/>
    <w:rsid w:val="008512DD"/>
    <w:pPr>
      <w:spacing w:before="240" w:after="60"/>
      <w:outlineLvl w:val="6"/>
    </w:pPr>
    <w:rPr>
      <w:rFonts w:ascii="Calibri" w:hAnsi="Calibri"/>
    </w:rPr>
  </w:style>
  <w:style w:type="paragraph" w:styleId="Ttulo8">
    <w:name w:val="heading 8"/>
    <w:basedOn w:val="Normal"/>
    <w:next w:val="Normal"/>
    <w:link w:val="Ttulo8Char"/>
    <w:uiPriority w:val="99"/>
    <w:qFormat/>
    <w:rsid w:val="008512DD"/>
    <w:pPr>
      <w:spacing w:before="240" w:after="60"/>
      <w:outlineLvl w:val="7"/>
    </w:pPr>
    <w:rPr>
      <w:rFonts w:ascii="Calibri" w:hAnsi="Calibri"/>
      <w:i/>
      <w:iCs/>
    </w:rPr>
  </w:style>
  <w:style w:type="paragraph" w:styleId="Ttulo9">
    <w:name w:val="heading 9"/>
    <w:basedOn w:val="Normal"/>
    <w:next w:val="Normal"/>
    <w:link w:val="Ttulo9Char"/>
    <w:uiPriority w:val="99"/>
    <w:qFormat/>
    <w:rsid w:val="008512DD"/>
    <w:p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512DD"/>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8512DD"/>
    <w:rPr>
      <w:rFonts w:ascii="Cambria" w:hAnsi="Cambria" w:cs="Times New Roman"/>
      <w:b/>
      <w:bCs/>
      <w:i/>
      <w:iCs/>
      <w:sz w:val="28"/>
      <w:szCs w:val="28"/>
    </w:rPr>
  </w:style>
  <w:style w:type="character" w:customStyle="1" w:styleId="Ttulo3Char">
    <w:name w:val="Título 3 Char"/>
    <w:basedOn w:val="Fontepargpadro"/>
    <w:link w:val="Ttulo3"/>
    <w:uiPriority w:val="99"/>
    <w:locked/>
    <w:rsid w:val="008512DD"/>
    <w:rPr>
      <w:rFonts w:ascii="Cambria" w:hAnsi="Cambria" w:cs="Times New Roman"/>
      <w:b/>
      <w:bCs/>
      <w:sz w:val="26"/>
      <w:szCs w:val="26"/>
    </w:rPr>
  </w:style>
  <w:style w:type="character" w:customStyle="1" w:styleId="Ttulo4Char">
    <w:name w:val="Título 4 Char"/>
    <w:basedOn w:val="Fontepargpadro"/>
    <w:link w:val="Ttulo4"/>
    <w:uiPriority w:val="99"/>
    <w:locked/>
    <w:rsid w:val="008512DD"/>
    <w:rPr>
      <w:rFonts w:ascii="Calibri" w:hAnsi="Calibri" w:cs="Times New Roman"/>
      <w:b/>
      <w:bCs/>
      <w:sz w:val="28"/>
      <w:szCs w:val="28"/>
    </w:rPr>
  </w:style>
  <w:style w:type="character" w:customStyle="1" w:styleId="Ttulo5Char">
    <w:name w:val="Título 5 Char"/>
    <w:basedOn w:val="Fontepargpadro"/>
    <w:link w:val="Ttulo5"/>
    <w:uiPriority w:val="99"/>
    <w:locked/>
    <w:rsid w:val="008512DD"/>
    <w:rPr>
      <w:rFonts w:ascii="Calibri" w:hAnsi="Calibri" w:cs="Times New Roman"/>
      <w:b/>
      <w:bCs/>
      <w:i/>
      <w:iCs/>
      <w:sz w:val="26"/>
      <w:szCs w:val="26"/>
    </w:rPr>
  </w:style>
  <w:style w:type="character" w:customStyle="1" w:styleId="Ttulo6Char">
    <w:name w:val="Título 6 Char"/>
    <w:basedOn w:val="Fontepargpadro"/>
    <w:link w:val="Ttulo6"/>
    <w:uiPriority w:val="99"/>
    <w:locked/>
    <w:rsid w:val="008512DD"/>
    <w:rPr>
      <w:rFonts w:ascii="Calibri" w:hAnsi="Calibri" w:cs="Times New Roman"/>
      <w:b/>
      <w:bCs/>
    </w:rPr>
  </w:style>
  <w:style w:type="character" w:customStyle="1" w:styleId="Ttulo7Char">
    <w:name w:val="Título 7 Char"/>
    <w:basedOn w:val="Fontepargpadro"/>
    <w:link w:val="Ttulo7"/>
    <w:uiPriority w:val="99"/>
    <w:locked/>
    <w:rsid w:val="008512DD"/>
    <w:rPr>
      <w:rFonts w:ascii="Calibri" w:hAnsi="Calibri" w:cs="Times New Roman"/>
      <w:sz w:val="24"/>
      <w:szCs w:val="24"/>
    </w:rPr>
  </w:style>
  <w:style w:type="character" w:customStyle="1" w:styleId="Ttulo8Char">
    <w:name w:val="Título 8 Char"/>
    <w:basedOn w:val="Fontepargpadro"/>
    <w:link w:val="Ttulo8"/>
    <w:uiPriority w:val="99"/>
    <w:locked/>
    <w:rsid w:val="008512DD"/>
    <w:rPr>
      <w:rFonts w:ascii="Calibri" w:hAnsi="Calibri" w:cs="Times New Roman"/>
      <w:i/>
      <w:iCs/>
      <w:sz w:val="24"/>
      <w:szCs w:val="24"/>
    </w:rPr>
  </w:style>
  <w:style w:type="character" w:customStyle="1" w:styleId="Ttulo9Char">
    <w:name w:val="Título 9 Char"/>
    <w:basedOn w:val="Fontepargpadro"/>
    <w:link w:val="Ttulo9"/>
    <w:uiPriority w:val="99"/>
    <w:locked/>
    <w:rsid w:val="008512DD"/>
    <w:rPr>
      <w:rFonts w:ascii="Cambria" w:hAnsi="Cambria" w:cs="Times New Roman"/>
    </w:rPr>
  </w:style>
  <w:style w:type="paragraph" w:styleId="Ttulo">
    <w:name w:val="Title"/>
    <w:basedOn w:val="Normal"/>
    <w:link w:val="TtuloChar"/>
    <w:uiPriority w:val="99"/>
    <w:qFormat/>
    <w:rsid w:val="008512DD"/>
    <w:pPr>
      <w:jc w:val="center"/>
    </w:pPr>
    <w:rPr>
      <w:rFonts w:ascii="Cambria" w:hAnsi="Cambria"/>
      <w:b/>
      <w:bCs/>
      <w:kern w:val="28"/>
      <w:sz w:val="32"/>
      <w:szCs w:val="32"/>
    </w:rPr>
  </w:style>
  <w:style w:type="character" w:customStyle="1" w:styleId="TtuloChar">
    <w:name w:val="Título Char"/>
    <w:basedOn w:val="Fontepargpadro"/>
    <w:link w:val="Ttulo"/>
    <w:uiPriority w:val="99"/>
    <w:locked/>
    <w:rsid w:val="008512DD"/>
    <w:rPr>
      <w:rFonts w:ascii="Cambria" w:hAnsi="Cambria" w:cs="Times New Roman"/>
      <w:b/>
      <w:bCs/>
      <w:kern w:val="28"/>
      <w:sz w:val="32"/>
      <w:szCs w:val="32"/>
    </w:rPr>
  </w:style>
  <w:style w:type="paragraph" w:styleId="Subttulo">
    <w:name w:val="Subtitle"/>
    <w:basedOn w:val="Normal"/>
    <w:link w:val="SubttuloChar"/>
    <w:uiPriority w:val="99"/>
    <w:qFormat/>
    <w:rsid w:val="008512DD"/>
    <w:pPr>
      <w:jc w:val="both"/>
    </w:pPr>
    <w:rPr>
      <w:rFonts w:ascii="Cambria" w:hAnsi="Cambria"/>
    </w:rPr>
  </w:style>
  <w:style w:type="character" w:customStyle="1" w:styleId="SubttuloChar">
    <w:name w:val="Subtítulo Char"/>
    <w:basedOn w:val="Fontepargpadro"/>
    <w:link w:val="Subttulo"/>
    <w:uiPriority w:val="99"/>
    <w:locked/>
    <w:rsid w:val="008512DD"/>
    <w:rPr>
      <w:rFonts w:ascii="Cambria" w:hAnsi="Cambria" w:cs="Times New Roman"/>
      <w:sz w:val="24"/>
      <w:szCs w:val="24"/>
    </w:rPr>
  </w:style>
  <w:style w:type="paragraph" w:styleId="PargrafodaLista">
    <w:name w:val="List Paragraph"/>
    <w:basedOn w:val="Normal"/>
    <w:uiPriority w:val="99"/>
    <w:qFormat/>
    <w:rsid w:val="008512DD"/>
    <w:pPr>
      <w:spacing w:after="200" w:line="276" w:lineRule="auto"/>
      <w:ind w:left="720"/>
      <w:contextualSpacing/>
    </w:pPr>
    <w:rPr>
      <w:rFonts w:ascii="Calibri" w:hAnsi="Calibri"/>
      <w:sz w:val="22"/>
      <w:szCs w:val="22"/>
    </w:rPr>
  </w:style>
  <w:style w:type="character" w:styleId="Hyperlink">
    <w:name w:val="Hyperlink"/>
    <w:basedOn w:val="Fontepargpadro"/>
    <w:uiPriority w:val="99"/>
    <w:rsid w:val="00452F55"/>
    <w:rPr>
      <w:rFonts w:cs="Times New Roman"/>
      <w:color w:val="0000FF"/>
      <w:u w:val="single"/>
    </w:rPr>
  </w:style>
  <w:style w:type="paragraph" w:styleId="Textodenotaderodap">
    <w:name w:val="footnote text"/>
    <w:basedOn w:val="Normal"/>
    <w:link w:val="TextodenotaderodapChar"/>
    <w:uiPriority w:val="99"/>
    <w:rsid w:val="00452F55"/>
    <w:rPr>
      <w:sz w:val="20"/>
      <w:szCs w:val="20"/>
      <w:lang w:eastAsia="pt-BR"/>
    </w:rPr>
  </w:style>
  <w:style w:type="character" w:customStyle="1" w:styleId="TextodenotaderodapChar">
    <w:name w:val="Texto de nota de rodapé Char"/>
    <w:basedOn w:val="Fontepargpadro"/>
    <w:link w:val="Textodenotaderodap"/>
    <w:uiPriority w:val="99"/>
    <w:locked/>
    <w:rsid w:val="00452F55"/>
    <w:rPr>
      <w:rFonts w:cs="Times New Roman"/>
      <w:sz w:val="20"/>
      <w:szCs w:val="20"/>
      <w:lang w:eastAsia="pt-BR"/>
    </w:rPr>
  </w:style>
  <w:style w:type="character" w:styleId="Refdenotaderodap">
    <w:name w:val="footnote reference"/>
    <w:basedOn w:val="Fontepargpadro"/>
    <w:uiPriority w:val="99"/>
    <w:rsid w:val="00452F55"/>
    <w:rPr>
      <w:rFonts w:cs="Times New Roman"/>
      <w:vertAlign w:val="superscript"/>
    </w:rPr>
  </w:style>
  <w:style w:type="character" w:styleId="Refdecomentrio">
    <w:name w:val="annotation reference"/>
    <w:basedOn w:val="Fontepargpadro"/>
    <w:uiPriority w:val="99"/>
    <w:rsid w:val="00452F55"/>
    <w:rPr>
      <w:rFonts w:cs="Times New Roman"/>
      <w:sz w:val="16"/>
    </w:rPr>
  </w:style>
  <w:style w:type="paragraph" w:styleId="Textodecomentrio">
    <w:name w:val="annotation text"/>
    <w:basedOn w:val="Normal"/>
    <w:link w:val="TextodecomentrioChar"/>
    <w:uiPriority w:val="99"/>
    <w:semiHidden/>
    <w:rsid w:val="00452F55"/>
    <w:rPr>
      <w:sz w:val="20"/>
      <w:szCs w:val="20"/>
      <w:lang w:eastAsia="pt-BR"/>
    </w:rPr>
  </w:style>
  <w:style w:type="character" w:customStyle="1" w:styleId="TextodecomentrioChar">
    <w:name w:val="Texto de comentário Char"/>
    <w:basedOn w:val="Fontepargpadro"/>
    <w:link w:val="Textodecomentrio"/>
    <w:uiPriority w:val="99"/>
    <w:semiHidden/>
    <w:locked/>
    <w:rsid w:val="00452F55"/>
    <w:rPr>
      <w:rFonts w:cs="Times New Roman"/>
      <w:sz w:val="20"/>
      <w:szCs w:val="20"/>
      <w:lang w:eastAsia="pt-BR"/>
    </w:rPr>
  </w:style>
  <w:style w:type="paragraph" w:styleId="Textodebalo">
    <w:name w:val="Balloon Text"/>
    <w:basedOn w:val="Normal"/>
    <w:link w:val="TextodebaloChar"/>
    <w:uiPriority w:val="99"/>
    <w:semiHidden/>
    <w:rsid w:val="00452F55"/>
    <w:rPr>
      <w:rFonts w:ascii="Tahoma" w:hAnsi="Tahoma" w:cs="Tahoma"/>
      <w:sz w:val="16"/>
      <w:szCs w:val="16"/>
    </w:rPr>
  </w:style>
  <w:style w:type="character" w:customStyle="1" w:styleId="TextodebaloChar">
    <w:name w:val="Texto de balão Char"/>
    <w:basedOn w:val="Fontepargpadro"/>
    <w:link w:val="Textodebalo"/>
    <w:uiPriority w:val="99"/>
    <w:semiHidden/>
    <w:locked/>
    <w:rsid w:val="00452F55"/>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rsid w:val="00990045"/>
    <w:rPr>
      <w:b/>
      <w:bCs/>
      <w:lang w:eastAsia="en-US"/>
    </w:rPr>
  </w:style>
  <w:style w:type="character" w:customStyle="1" w:styleId="AssuntodocomentrioChar">
    <w:name w:val="Assunto do comentário Char"/>
    <w:basedOn w:val="TextodecomentrioChar"/>
    <w:link w:val="Assuntodocomentrio"/>
    <w:uiPriority w:val="99"/>
    <w:semiHidden/>
    <w:locked/>
    <w:rsid w:val="00990045"/>
    <w:rPr>
      <w:rFonts w:cs="Times New Roman"/>
      <w:b/>
      <w:bCs/>
      <w:sz w:val="20"/>
      <w:szCs w:val="20"/>
      <w:lang w:eastAsia="pt-BR"/>
    </w:rPr>
  </w:style>
  <w:style w:type="character" w:styleId="TextodoEspaoReservado">
    <w:name w:val="Placeholder Text"/>
    <w:basedOn w:val="Fontepargpadro"/>
    <w:uiPriority w:val="99"/>
    <w:semiHidden/>
    <w:rsid w:val="00AC4327"/>
    <w:rPr>
      <w:color w:val="808080"/>
    </w:rPr>
  </w:style>
  <w:style w:type="paragraph" w:styleId="Cabealho">
    <w:name w:val="header"/>
    <w:basedOn w:val="Normal"/>
    <w:link w:val="CabealhoChar"/>
    <w:uiPriority w:val="99"/>
    <w:unhideWhenUsed/>
    <w:rsid w:val="00201691"/>
    <w:pPr>
      <w:tabs>
        <w:tab w:val="center" w:pos="4252"/>
        <w:tab w:val="right" w:pos="8504"/>
      </w:tabs>
    </w:pPr>
  </w:style>
  <w:style w:type="character" w:customStyle="1" w:styleId="CabealhoChar">
    <w:name w:val="Cabeçalho Char"/>
    <w:basedOn w:val="Fontepargpadro"/>
    <w:link w:val="Cabealho"/>
    <w:uiPriority w:val="99"/>
    <w:rsid w:val="00201691"/>
    <w:rPr>
      <w:sz w:val="24"/>
      <w:szCs w:val="24"/>
      <w:lang w:eastAsia="en-US"/>
    </w:rPr>
  </w:style>
  <w:style w:type="paragraph" w:styleId="Rodap">
    <w:name w:val="footer"/>
    <w:basedOn w:val="Normal"/>
    <w:link w:val="RodapChar"/>
    <w:uiPriority w:val="99"/>
    <w:unhideWhenUsed/>
    <w:rsid w:val="00201691"/>
    <w:pPr>
      <w:tabs>
        <w:tab w:val="center" w:pos="4252"/>
        <w:tab w:val="right" w:pos="8504"/>
      </w:tabs>
    </w:pPr>
  </w:style>
  <w:style w:type="character" w:customStyle="1" w:styleId="RodapChar">
    <w:name w:val="Rodapé Char"/>
    <w:basedOn w:val="Fontepargpadro"/>
    <w:link w:val="Rodap"/>
    <w:uiPriority w:val="99"/>
    <w:rsid w:val="002016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8494">
      <w:bodyDiv w:val="1"/>
      <w:marLeft w:val="0"/>
      <w:marRight w:val="0"/>
      <w:marTop w:val="0"/>
      <w:marBottom w:val="0"/>
      <w:divBdr>
        <w:top w:val="none" w:sz="0" w:space="0" w:color="auto"/>
        <w:left w:val="none" w:sz="0" w:space="0" w:color="auto"/>
        <w:bottom w:val="none" w:sz="0" w:space="0" w:color="auto"/>
        <w:right w:val="none" w:sz="0" w:space="0" w:color="auto"/>
      </w:divBdr>
      <w:divsChild>
        <w:div w:id="1309554215">
          <w:marLeft w:val="0"/>
          <w:marRight w:val="0"/>
          <w:marTop w:val="0"/>
          <w:marBottom w:val="0"/>
          <w:divBdr>
            <w:top w:val="none" w:sz="0" w:space="0" w:color="auto"/>
            <w:left w:val="none" w:sz="0" w:space="0" w:color="auto"/>
            <w:bottom w:val="none" w:sz="0" w:space="0" w:color="auto"/>
            <w:right w:val="none" w:sz="0" w:space="0" w:color="auto"/>
          </w:divBdr>
        </w:div>
      </w:divsChild>
    </w:div>
    <w:div w:id="655257620">
      <w:bodyDiv w:val="1"/>
      <w:marLeft w:val="0"/>
      <w:marRight w:val="0"/>
      <w:marTop w:val="0"/>
      <w:marBottom w:val="0"/>
      <w:divBdr>
        <w:top w:val="none" w:sz="0" w:space="0" w:color="auto"/>
        <w:left w:val="none" w:sz="0" w:space="0" w:color="auto"/>
        <w:bottom w:val="none" w:sz="0" w:space="0" w:color="auto"/>
        <w:right w:val="none" w:sz="0" w:space="0" w:color="auto"/>
      </w:divBdr>
      <w:divsChild>
        <w:div w:id="1783719367">
          <w:marLeft w:val="0"/>
          <w:marRight w:val="0"/>
          <w:marTop w:val="0"/>
          <w:marBottom w:val="0"/>
          <w:divBdr>
            <w:top w:val="none" w:sz="0" w:space="0" w:color="auto"/>
            <w:left w:val="none" w:sz="0" w:space="0" w:color="auto"/>
            <w:bottom w:val="none" w:sz="0" w:space="0" w:color="auto"/>
            <w:right w:val="none" w:sz="0" w:space="0" w:color="auto"/>
          </w:divBdr>
        </w:div>
      </w:divsChild>
    </w:div>
    <w:div w:id="802233956">
      <w:bodyDiv w:val="1"/>
      <w:marLeft w:val="0"/>
      <w:marRight w:val="0"/>
      <w:marTop w:val="0"/>
      <w:marBottom w:val="0"/>
      <w:divBdr>
        <w:top w:val="none" w:sz="0" w:space="0" w:color="auto"/>
        <w:left w:val="none" w:sz="0" w:space="0" w:color="auto"/>
        <w:bottom w:val="none" w:sz="0" w:space="0" w:color="auto"/>
        <w:right w:val="none" w:sz="0" w:space="0" w:color="auto"/>
      </w:divBdr>
      <w:divsChild>
        <w:div w:id="1510177328">
          <w:marLeft w:val="0"/>
          <w:marRight w:val="0"/>
          <w:marTop w:val="0"/>
          <w:marBottom w:val="0"/>
          <w:divBdr>
            <w:top w:val="none" w:sz="0" w:space="0" w:color="auto"/>
            <w:left w:val="none" w:sz="0" w:space="0" w:color="auto"/>
            <w:bottom w:val="none" w:sz="0" w:space="0" w:color="auto"/>
            <w:right w:val="none" w:sz="0" w:space="0" w:color="auto"/>
          </w:divBdr>
        </w:div>
      </w:divsChild>
    </w:div>
    <w:div w:id="885721030">
      <w:bodyDiv w:val="1"/>
      <w:marLeft w:val="0"/>
      <w:marRight w:val="0"/>
      <w:marTop w:val="0"/>
      <w:marBottom w:val="0"/>
      <w:divBdr>
        <w:top w:val="none" w:sz="0" w:space="0" w:color="auto"/>
        <w:left w:val="none" w:sz="0" w:space="0" w:color="auto"/>
        <w:bottom w:val="none" w:sz="0" w:space="0" w:color="auto"/>
        <w:right w:val="none" w:sz="0" w:space="0" w:color="auto"/>
      </w:divBdr>
      <w:divsChild>
        <w:div w:id="1228959993">
          <w:marLeft w:val="0"/>
          <w:marRight w:val="0"/>
          <w:marTop w:val="0"/>
          <w:marBottom w:val="0"/>
          <w:divBdr>
            <w:top w:val="none" w:sz="0" w:space="0" w:color="auto"/>
            <w:left w:val="none" w:sz="0" w:space="0" w:color="auto"/>
            <w:bottom w:val="none" w:sz="0" w:space="0" w:color="auto"/>
            <w:right w:val="none" w:sz="0" w:space="0" w:color="auto"/>
          </w:divBdr>
        </w:div>
      </w:divsChild>
    </w:div>
    <w:div w:id="1204556857">
      <w:bodyDiv w:val="1"/>
      <w:marLeft w:val="0"/>
      <w:marRight w:val="0"/>
      <w:marTop w:val="0"/>
      <w:marBottom w:val="0"/>
      <w:divBdr>
        <w:top w:val="none" w:sz="0" w:space="0" w:color="auto"/>
        <w:left w:val="none" w:sz="0" w:space="0" w:color="auto"/>
        <w:bottom w:val="none" w:sz="0" w:space="0" w:color="auto"/>
        <w:right w:val="none" w:sz="0" w:space="0" w:color="auto"/>
      </w:divBdr>
      <w:divsChild>
        <w:div w:id="128985510">
          <w:marLeft w:val="0"/>
          <w:marRight w:val="0"/>
          <w:marTop w:val="0"/>
          <w:marBottom w:val="0"/>
          <w:divBdr>
            <w:top w:val="none" w:sz="0" w:space="0" w:color="auto"/>
            <w:left w:val="none" w:sz="0" w:space="0" w:color="auto"/>
            <w:bottom w:val="none" w:sz="0" w:space="0" w:color="auto"/>
            <w:right w:val="none" w:sz="0" w:space="0" w:color="auto"/>
          </w:divBdr>
        </w:div>
      </w:divsChild>
    </w:div>
    <w:div w:id="1287393397">
      <w:bodyDiv w:val="1"/>
      <w:marLeft w:val="0"/>
      <w:marRight w:val="0"/>
      <w:marTop w:val="0"/>
      <w:marBottom w:val="0"/>
      <w:divBdr>
        <w:top w:val="none" w:sz="0" w:space="0" w:color="auto"/>
        <w:left w:val="none" w:sz="0" w:space="0" w:color="auto"/>
        <w:bottom w:val="none" w:sz="0" w:space="0" w:color="auto"/>
        <w:right w:val="none" w:sz="0" w:space="0" w:color="auto"/>
      </w:divBdr>
      <w:divsChild>
        <w:div w:id="280654414">
          <w:marLeft w:val="0"/>
          <w:marRight w:val="0"/>
          <w:marTop w:val="0"/>
          <w:marBottom w:val="0"/>
          <w:divBdr>
            <w:top w:val="none" w:sz="0" w:space="0" w:color="auto"/>
            <w:left w:val="none" w:sz="0" w:space="0" w:color="auto"/>
            <w:bottom w:val="none" w:sz="0" w:space="0" w:color="auto"/>
            <w:right w:val="none" w:sz="0" w:space="0" w:color="auto"/>
          </w:divBdr>
        </w:div>
      </w:divsChild>
    </w:div>
    <w:div w:id="1310862525">
      <w:bodyDiv w:val="1"/>
      <w:marLeft w:val="0"/>
      <w:marRight w:val="0"/>
      <w:marTop w:val="0"/>
      <w:marBottom w:val="0"/>
      <w:divBdr>
        <w:top w:val="none" w:sz="0" w:space="0" w:color="auto"/>
        <w:left w:val="none" w:sz="0" w:space="0" w:color="auto"/>
        <w:bottom w:val="none" w:sz="0" w:space="0" w:color="auto"/>
        <w:right w:val="none" w:sz="0" w:space="0" w:color="auto"/>
      </w:divBdr>
      <w:divsChild>
        <w:div w:id="865337626">
          <w:marLeft w:val="0"/>
          <w:marRight w:val="0"/>
          <w:marTop w:val="0"/>
          <w:marBottom w:val="0"/>
          <w:divBdr>
            <w:top w:val="none" w:sz="0" w:space="0" w:color="auto"/>
            <w:left w:val="none" w:sz="0" w:space="0" w:color="auto"/>
            <w:bottom w:val="none" w:sz="0" w:space="0" w:color="auto"/>
            <w:right w:val="none" w:sz="0" w:space="0" w:color="auto"/>
          </w:divBdr>
        </w:div>
      </w:divsChild>
    </w:div>
    <w:div w:id="1313558182">
      <w:bodyDiv w:val="1"/>
      <w:marLeft w:val="0"/>
      <w:marRight w:val="0"/>
      <w:marTop w:val="0"/>
      <w:marBottom w:val="0"/>
      <w:divBdr>
        <w:top w:val="none" w:sz="0" w:space="0" w:color="auto"/>
        <w:left w:val="none" w:sz="0" w:space="0" w:color="auto"/>
        <w:bottom w:val="none" w:sz="0" w:space="0" w:color="auto"/>
        <w:right w:val="none" w:sz="0" w:space="0" w:color="auto"/>
      </w:divBdr>
      <w:divsChild>
        <w:div w:id="1746762692">
          <w:marLeft w:val="0"/>
          <w:marRight w:val="0"/>
          <w:marTop w:val="0"/>
          <w:marBottom w:val="0"/>
          <w:divBdr>
            <w:top w:val="none" w:sz="0" w:space="0" w:color="auto"/>
            <w:left w:val="none" w:sz="0" w:space="0" w:color="auto"/>
            <w:bottom w:val="none" w:sz="0" w:space="0" w:color="auto"/>
            <w:right w:val="none" w:sz="0" w:space="0" w:color="auto"/>
          </w:divBdr>
        </w:div>
      </w:divsChild>
    </w:div>
    <w:div w:id="1760101292">
      <w:bodyDiv w:val="1"/>
      <w:marLeft w:val="0"/>
      <w:marRight w:val="0"/>
      <w:marTop w:val="0"/>
      <w:marBottom w:val="0"/>
      <w:divBdr>
        <w:top w:val="none" w:sz="0" w:space="0" w:color="auto"/>
        <w:left w:val="none" w:sz="0" w:space="0" w:color="auto"/>
        <w:bottom w:val="none" w:sz="0" w:space="0" w:color="auto"/>
        <w:right w:val="none" w:sz="0" w:space="0" w:color="auto"/>
      </w:divBdr>
      <w:divsChild>
        <w:div w:id="195241456">
          <w:marLeft w:val="0"/>
          <w:marRight w:val="0"/>
          <w:marTop w:val="0"/>
          <w:marBottom w:val="0"/>
          <w:divBdr>
            <w:top w:val="none" w:sz="0" w:space="0" w:color="auto"/>
            <w:left w:val="none" w:sz="0" w:space="0" w:color="auto"/>
            <w:bottom w:val="none" w:sz="0" w:space="0" w:color="auto"/>
            <w:right w:val="none" w:sz="0" w:space="0" w:color="auto"/>
          </w:divBdr>
        </w:div>
      </w:divsChild>
    </w:div>
    <w:div w:id="1967003603">
      <w:bodyDiv w:val="1"/>
      <w:marLeft w:val="0"/>
      <w:marRight w:val="0"/>
      <w:marTop w:val="0"/>
      <w:marBottom w:val="0"/>
      <w:divBdr>
        <w:top w:val="none" w:sz="0" w:space="0" w:color="auto"/>
        <w:left w:val="none" w:sz="0" w:space="0" w:color="auto"/>
        <w:bottom w:val="none" w:sz="0" w:space="0" w:color="auto"/>
        <w:right w:val="none" w:sz="0" w:space="0" w:color="auto"/>
      </w:divBdr>
      <w:divsChild>
        <w:div w:id="519510902">
          <w:marLeft w:val="0"/>
          <w:marRight w:val="0"/>
          <w:marTop w:val="0"/>
          <w:marBottom w:val="0"/>
          <w:divBdr>
            <w:top w:val="none" w:sz="0" w:space="0" w:color="auto"/>
            <w:left w:val="none" w:sz="0" w:space="0" w:color="auto"/>
            <w:bottom w:val="none" w:sz="0" w:space="0" w:color="auto"/>
            <w:right w:val="none" w:sz="0" w:space="0" w:color="auto"/>
          </w:divBdr>
        </w:div>
        <w:div w:id="500387022">
          <w:marLeft w:val="0"/>
          <w:marRight w:val="0"/>
          <w:marTop w:val="0"/>
          <w:marBottom w:val="0"/>
          <w:divBdr>
            <w:top w:val="none" w:sz="0" w:space="0" w:color="auto"/>
            <w:left w:val="none" w:sz="0" w:space="0" w:color="auto"/>
            <w:bottom w:val="none" w:sz="0" w:space="0" w:color="auto"/>
            <w:right w:val="none" w:sz="0" w:space="0" w:color="auto"/>
          </w:divBdr>
        </w:div>
        <w:div w:id="324213413">
          <w:marLeft w:val="0"/>
          <w:marRight w:val="0"/>
          <w:marTop w:val="0"/>
          <w:marBottom w:val="0"/>
          <w:divBdr>
            <w:top w:val="none" w:sz="0" w:space="0" w:color="auto"/>
            <w:left w:val="none" w:sz="0" w:space="0" w:color="auto"/>
            <w:bottom w:val="none" w:sz="0" w:space="0" w:color="auto"/>
            <w:right w:val="none" w:sz="0" w:space="0" w:color="auto"/>
          </w:divBdr>
        </w:div>
        <w:div w:id="818616482">
          <w:marLeft w:val="0"/>
          <w:marRight w:val="0"/>
          <w:marTop w:val="0"/>
          <w:marBottom w:val="0"/>
          <w:divBdr>
            <w:top w:val="none" w:sz="0" w:space="0" w:color="auto"/>
            <w:left w:val="none" w:sz="0" w:space="0" w:color="auto"/>
            <w:bottom w:val="none" w:sz="0" w:space="0" w:color="auto"/>
            <w:right w:val="none" w:sz="0" w:space="0" w:color="auto"/>
          </w:divBdr>
        </w:div>
        <w:div w:id="464743299">
          <w:marLeft w:val="0"/>
          <w:marRight w:val="0"/>
          <w:marTop w:val="0"/>
          <w:marBottom w:val="0"/>
          <w:divBdr>
            <w:top w:val="none" w:sz="0" w:space="0" w:color="auto"/>
            <w:left w:val="none" w:sz="0" w:space="0" w:color="auto"/>
            <w:bottom w:val="none" w:sz="0" w:space="0" w:color="auto"/>
            <w:right w:val="none" w:sz="0" w:space="0" w:color="auto"/>
          </w:divBdr>
        </w:div>
        <w:div w:id="747461773">
          <w:marLeft w:val="0"/>
          <w:marRight w:val="0"/>
          <w:marTop w:val="0"/>
          <w:marBottom w:val="0"/>
          <w:divBdr>
            <w:top w:val="none" w:sz="0" w:space="0" w:color="auto"/>
            <w:left w:val="none" w:sz="0" w:space="0" w:color="auto"/>
            <w:bottom w:val="none" w:sz="0" w:space="0" w:color="auto"/>
            <w:right w:val="none" w:sz="0" w:space="0" w:color="auto"/>
          </w:divBdr>
        </w:div>
        <w:div w:id="529270385">
          <w:marLeft w:val="0"/>
          <w:marRight w:val="0"/>
          <w:marTop w:val="0"/>
          <w:marBottom w:val="0"/>
          <w:divBdr>
            <w:top w:val="none" w:sz="0" w:space="0" w:color="auto"/>
            <w:left w:val="none" w:sz="0" w:space="0" w:color="auto"/>
            <w:bottom w:val="none" w:sz="0" w:space="0" w:color="auto"/>
            <w:right w:val="none" w:sz="0" w:space="0" w:color="auto"/>
          </w:divBdr>
        </w:div>
        <w:div w:id="659962174">
          <w:marLeft w:val="0"/>
          <w:marRight w:val="0"/>
          <w:marTop w:val="0"/>
          <w:marBottom w:val="0"/>
          <w:divBdr>
            <w:top w:val="none" w:sz="0" w:space="0" w:color="auto"/>
            <w:left w:val="none" w:sz="0" w:space="0" w:color="auto"/>
            <w:bottom w:val="none" w:sz="0" w:space="0" w:color="auto"/>
            <w:right w:val="none" w:sz="0" w:space="0" w:color="auto"/>
          </w:divBdr>
        </w:div>
        <w:div w:id="279921674">
          <w:marLeft w:val="0"/>
          <w:marRight w:val="0"/>
          <w:marTop w:val="0"/>
          <w:marBottom w:val="0"/>
          <w:divBdr>
            <w:top w:val="none" w:sz="0" w:space="0" w:color="auto"/>
            <w:left w:val="none" w:sz="0" w:space="0" w:color="auto"/>
            <w:bottom w:val="none" w:sz="0" w:space="0" w:color="auto"/>
            <w:right w:val="none" w:sz="0" w:space="0" w:color="auto"/>
          </w:divBdr>
        </w:div>
        <w:div w:id="1348824483">
          <w:marLeft w:val="0"/>
          <w:marRight w:val="0"/>
          <w:marTop w:val="0"/>
          <w:marBottom w:val="0"/>
          <w:divBdr>
            <w:top w:val="none" w:sz="0" w:space="0" w:color="auto"/>
            <w:left w:val="none" w:sz="0" w:space="0" w:color="auto"/>
            <w:bottom w:val="none" w:sz="0" w:space="0" w:color="auto"/>
            <w:right w:val="none" w:sz="0" w:space="0" w:color="auto"/>
          </w:divBdr>
        </w:div>
        <w:div w:id="922884051">
          <w:marLeft w:val="0"/>
          <w:marRight w:val="0"/>
          <w:marTop w:val="0"/>
          <w:marBottom w:val="0"/>
          <w:divBdr>
            <w:top w:val="none" w:sz="0" w:space="0" w:color="auto"/>
            <w:left w:val="none" w:sz="0" w:space="0" w:color="auto"/>
            <w:bottom w:val="none" w:sz="0" w:space="0" w:color="auto"/>
            <w:right w:val="none" w:sz="0" w:space="0" w:color="auto"/>
          </w:divBdr>
        </w:div>
        <w:div w:id="105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Planilha_do_Microsoft_Excel1.xlsx"/><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package" Target="embeddings/Planilha_do_Microsoft_Excel5.xlsx"/><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package" Target="embeddings/Planilha_do_Microsoft_Excel3.xls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package" Target="embeddings/Planilha_do_Microsoft_Excel2.xlsx"/><Relationship Id="rId23" Type="http://schemas.openxmlformats.org/officeDocument/2006/relationships/package" Target="embeddings/Planilha_do_Microsoft_Excel6.xlsx"/><Relationship Id="rId10" Type="http://schemas.openxmlformats.org/officeDocument/2006/relationships/image" Target="media/image4.emf"/><Relationship Id="rId19" Type="http://schemas.openxmlformats.org/officeDocument/2006/relationships/package" Target="embeddings/Planilha_do_Microsoft_Excel4.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1.emf"/></Relationships>
</file>

<file path=word/_rels/footnotes.xml.rels><?xml version="1.0" encoding="UTF-8" standalone="yes"?>
<Relationships xmlns="http://schemas.openxmlformats.org/package/2006/relationships"><Relationship Id="rId3" Type="http://schemas.openxmlformats.org/officeDocument/2006/relationships/hyperlink" Target="mailto:smfpcv@hotmail.com" TargetMode="External"/><Relationship Id="rId2" Type="http://schemas.openxmlformats.org/officeDocument/2006/relationships/hyperlink" Target="mailto:roberta_rocha_pe@yahoo.com.br" TargetMode="External"/><Relationship Id="rId1" Type="http://schemas.openxmlformats.org/officeDocument/2006/relationships/hyperlink" Target="mailto:marinamonteirot@hotmail.com" TargetMode="External"/><Relationship Id="rId4" Type="http://schemas.openxmlformats.org/officeDocument/2006/relationships/hyperlink" Target="http://www.mte.gov.br/pdet/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B9AC-7A6E-4A19-BF42-365F7FFE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6978</Words>
  <Characters>37686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Web</dc:creator>
  <cp:keywords/>
  <dc:description/>
  <cp:lastModifiedBy>Cassio</cp:lastModifiedBy>
  <cp:revision>4</cp:revision>
  <cp:lastPrinted>2012-05-01T15:52:00Z</cp:lastPrinted>
  <dcterms:created xsi:type="dcterms:W3CDTF">2018-05-25T12:54:00Z</dcterms:created>
  <dcterms:modified xsi:type="dcterms:W3CDTF">2018-06-20T09:10:00Z</dcterms:modified>
</cp:coreProperties>
</file>