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E1" w:rsidRPr="005D44E1" w:rsidRDefault="005D44E1" w:rsidP="005D44E1">
      <w:pPr>
        <w:pStyle w:val="PargrafodaLista"/>
        <w:spacing w:after="0" w:line="480" w:lineRule="auto"/>
        <w:ind w:left="0"/>
        <w:rPr>
          <w:rFonts w:ascii="Times New Roman" w:hAnsi="Times New Roman" w:cs="Times New Roman"/>
        </w:rPr>
      </w:pPr>
      <w:r w:rsidRPr="005D44E1">
        <w:rPr>
          <w:rFonts w:ascii="Times New Roman" w:hAnsi="Times New Roman" w:cs="Times New Roman"/>
        </w:rPr>
        <w:t xml:space="preserve">Figura </w:t>
      </w:r>
      <w:r w:rsidRPr="005D44E1">
        <w:rPr>
          <w:rFonts w:ascii="Times New Roman" w:hAnsi="Times New Roman" w:cs="Times New Roman"/>
        </w:rPr>
        <w:fldChar w:fldCharType="begin"/>
      </w:r>
      <w:r w:rsidRPr="005D44E1">
        <w:rPr>
          <w:rFonts w:ascii="Times New Roman" w:hAnsi="Times New Roman" w:cs="Times New Roman"/>
        </w:rPr>
        <w:instrText xml:space="preserve"> SEQ Figura \* ARABIC </w:instrText>
      </w:r>
      <w:r w:rsidRPr="005D44E1">
        <w:rPr>
          <w:rFonts w:ascii="Times New Roman" w:hAnsi="Times New Roman" w:cs="Times New Roman"/>
        </w:rPr>
        <w:fldChar w:fldCharType="separate"/>
      </w:r>
      <w:r w:rsidRPr="005D44E1">
        <w:rPr>
          <w:rFonts w:ascii="Times New Roman" w:hAnsi="Times New Roman" w:cs="Times New Roman"/>
          <w:noProof/>
        </w:rPr>
        <w:t>1</w:t>
      </w:r>
      <w:r w:rsidRPr="005D44E1">
        <w:rPr>
          <w:rFonts w:ascii="Times New Roman" w:hAnsi="Times New Roman" w:cs="Times New Roman"/>
        </w:rPr>
        <w:fldChar w:fldCharType="end"/>
      </w:r>
      <w:r w:rsidRPr="005D44E1">
        <w:rPr>
          <w:rFonts w:ascii="Times New Roman" w:hAnsi="Times New Roman" w:cs="Times New Roman"/>
        </w:rPr>
        <w:t xml:space="preserve">. Análise de Constelação como um conceito-ponte. Fonte: Adaptado de </w:t>
      </w:r>
      <w:proofErr w:type="spellStart"/>
      <w:r w:rsidRPr="005D44E1">
        <w:rPr>
          <w:rFonts w:ascii="Times New Roman" w:hAnsi="Times New Roman" w:cs="Times New Roman"/>
        </w:rPr>
        <w:t>Schäfer</w:t>
      </w:r>
      <w:proofErr w:type="spellEnd"/>
      <w:r w:rsidRPr="005D44E1">
        <w:rPr>
          <w:rFonts w:ascii="Times New Roman" w:hAnsi="Times New Roman" w:cs="Times New Roman"/>
        </w:rPr>
        <w:t xml:space="preserve"> et al. (2010).</w:t>
      </w:r>
    </w:p>
    <w:p w:rsidR="005D44E1" w:rsidRPr="005D44E1" w:rsidRDefault="005D44E1" w:rsidP="005D44E1">
      <w:pPr>
        <w:spacing w:after="0" w:line="480" w:lineRule="auto"/>
        <w:rPr>
          <w:sz w:val="22"/>
          <w:szCs w:val="22"/>
        </w:rPr>
      </w:pPr>
      <w:r w:rsidRPr="005D44E1">
        <w:rPr>
          <w:sz w:val="22"/>
          <w:szCs w:val="22"/>
        </w:rPr>
        <w:t xml:space="preserve">Figura </w:t>
      </w:r>
      <w:r w:rsidRPr="005D44E1">
        <w:rPr>
          <w:sz w:val="22"/>
          <w:szCs w:val="22"/>
        </w:rPr>
        <w:fldChar w:fldCharType="begin"/>
      </w:r>
      <w:r w:rsidRPr="005D44E1">
        <w:rPr>
          <w:sz w:val="22"/>
          <w:szCs w:val="22"/>
        </w:rPr>
        <w:instrText xml:space="preserve"> SEQ Figura \* ARABIC </w:instrText>
      </w:r>
      <w:r w:rsidRPr="005D44E1">
        <w:rPr>
          <w:sz w:val="22"/>
          <w:szCs w:val="22"/>
        </w:rPr>
        <w:fldChar w:fldCharType="separate"/>
      </w:r>
      <w:r w:rsidRPr="005D44E1">
        <w:rPr>
          <w:noProof/>
          <w:sz w:val="22"/>
          <w:szCs w:val="22"/>
        </w:rPr>
        <w:t>2</w:t>
      </w:r>
      <w:r w:rsidRPr="005D44E1">
        <w:rPr>
          <w:sz w:val="22"/>
          <w:szCs w:val="22"/>
        </w:rPr>
        <w:fldChar w:fldCharType="end"/>
      </w:r>
      <w:r w:rsidRPr="005D44E1">
        <w:rPr>
          <w:sz w:val="22"/>
          <w:szCs w:val="22"/>
        </w:rPr>
        <w:t>. Elementos gráficos. Fonte: Adaptado de Best (2013) e Paula et al. (2014).</w:t>
      </w:r>
    </w:p>
    <w:p w:rsidR="005D44E1" w:rsidRPr="005D44E1" w:rsidRDefault="005D44E1" w:rsidP="005D44E1">
      <w:pPr>
        <w:spacing w:after="0" w:line="480" w:lineRule="auto"/>
        <w:rPr>
          <w:sz w:val="22"/>
          <w:szCs w:val="22"/>
        </w:rPr>
      </w:pPr>
      <w:r w:rsidRPr="005D44E1">
        <w:rPr>
          <w:sz w:val="22"/>
          <w:szCs w:val="22"/>
        </w:rPr>
        <w:t xml:space="preserve">Figura 3. Constelação da gestão da terra do Reservatório de Itaparica desenvolvida em workshops interdisciplinares. Fonte: </w:t>
      </w:r>
      <w:proofErr w:type="spellStart"/>
      <w:r w:rsidRPr="005D44E1">
        <w:rPr>
          <w:sz w:val="22"/>
          <w:szCs w:val="22"/>
        </w:rPr>
        <w:t>Rodorff</w:t>
      </w:r>
      <w:proofErr w:type="spellEnd"/>
      <w:r w:rsidRPr="005D44E1">
        <w:rPr>
          <w:sz w:val="22"/>
          <w:szCs w:val="22"/>
        </w:rPr>
        <w:t xml:space="preserve"> et al. (2013).</w:t>
      </w:r>
    </w:p>
    <w:p w:rsidR="005D44E1" w:rsidRPr="005D44E1" w:rsidRDefault="005D44E1" w:rsidP="005D44E1">
      <w:pPr>
        <w:autoSpaceDE w:val="0"/>
        <w:autoSpaceDN w:val="0"/>
        <w:adjustRightInd w:val="0"/>
        <w:spacing w:after="0" w:line="480" w:lineRule="auto"/>
        <w:rPr>
          <w:color w:val="1D1B11"/>
          <w:sz w:val="22"/>
          <w:szCs w:val="22"/>
        </w:rPr>
      </w:pPr>
      <w:r w:rsidRPr="005D44E1">
        <w:rPr>
          <w:color w:val="1D1B11"/>
          <w:sz w:val="22"/>
          <w:szCs w:val="22"/>
        </w:rPr>
        <w:t xml:space="preserve">Figura 4. Fluxograma simplificado da Análise de Constelação. Fonte: Elaborado por </w:t>
      </w:r>
      <w:proofErr w:type="spellStart"/>
      <w:r w:rsidRPr="005D44E1">
        <w:rPr>
          <w:color w:val="1D1B11"/>
          <w:sz w:val="22"/>
          <w:szCs w:val="22"/>
        </w:rPr>
        <w:t>Liron</w:t>
      </w:r>
      <w:proofErr w:type="spellEnd"/>
      <w:r w:rsidRPr="005D44E1">
        <w:rPr>
          <w:color w:val="1D1B11"/>
          <w:sz w:val="22"/>
          <w:szCs w:val="22"/>
        </w:rPr>
        <w:t xml:space="preserve"> </w:t>
      </w:r>
      <w:proofErr w:type="spellStart"/>
      <w:r w:rsidRPr="005D44E1">
        <w:rPr>
          <w:color w:val="1D1B11"/>
          <w:sz w:val="22"/>
          <w:szCs w:val="22"/>
        </w:rPr>
        <w:t>Steinmetz</w:t>
      </w:r>
      <w:proofErr w:type="spellEnd"/>
      <w:r w:rsidRPr="005D44E1">
        <w:rPr>
          <w:color w:val="1D1B11"/>
          <w:sz w:val="22"/>
          <w:szCs w:val="22"/>
        </w:rPr>
        <w:t xml:space="preserve"> (WOCAT 2016).</w:t>
      </w:r>
      <w:bookmarkStart w:id="0" w:name="_GoBack"/>
      <w:bookmarkEnd w:id="0"/>
    </w:p>
    <w:p w:rsidR="00E80A29" w:rsidRDefault="00E80A29" w:rsidP="005D44E1">
      <w:pPr>
        <w:spacing w:after="0" w:line="480" w:lineRule="auto"/>
      </w:pPr>
    </w:p>
    <w:sectPr w:rsidR="00E80A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E1"/>
    <w:rsid w:val="00003CAB"/>
    <w:rsid w:val="00003FFE"/>
    <w:rsid w:val="0002298D"/>
    <w:rsid w:val="000750E7"/>
    <w:rsid w:val="00090602"/>
    <w:rsid w:val="000A3891"/>
    <w:rsid w:val="000A70D5"/>
    <w:rsid w:val="00110867"/>
    <w:rsid w:val="001438BF"/>
    <w:rsid w:val="001C0173"/>
    <w:rsid w:val="001D1EE2"/>
    <w:rsid w:val="002A3E43"/>
    <w:rsid w:val="002F2C6F"/>
    <w:rsid w:val="00333EDE"/>
    <w:rsid w:val="003A1BF9"/>
    <w:rsid w:val="003E1E4B"/>
    <w:rsid w:val="00424701"/>
    <w:rsid w:val="0042763B"/>
    <w:rsid w:val="0043030B"/>
    <w:rsid w:val="00455432"/>
    <w:rsid w:val="00480A24"/>
    <w:rsid w:val="004C6DA7"/>
    <w:rsid w:val="00510825"/>
    <w:rsid w:val="005116DC"/>
    <w:rsid w:val="005344C1"/>
    <w:rsid w:val="005A31E0"/>
    <w:rsid w:val="005D127C"/>
    <w:rsid w:val="005D44E1"/>
    <w:rsid w:val="005D6877"/>
    <w:rsid w:val="005E1A49"/>
    <w:rsid w:val="005F4AD9"/>
    <w:rsid w:val="006163AD"/>
    <w:rsid w:val="006434CD"/>
    <w:rsid w:val="00647470"/>
    <w:rsid w:val="00662157"/>
    <w:rsid w:val="00697DC7"/>
    <w:rsid w:val="00700A87"/>
    <w:rsid w:val="007C6E3C"/>
    <w:rsid w:val="007E1568"/>
    <w:rsid w:val="007E5E15"/>
    <w:rsid w:val="007F746B"/>
    <w:rsid w:val="008837E4"/>
    <w:rsid w:val="008C1834"/>
    <w:rsid w:val="008C46B9"/>
    <w:rsid w:val="008F7395"/>
    <w:rsid w:val="009000CA"/>
    <w:rsid w:val="00907BEF"/>
    <w:rsid w:val="00925EC5"/>
    <w:rsid w:val="009A6FEA"/>
    <w:rsid w:val="009B4325"/>
    <w:rsid w:val="009B70DB"/>
    <w:rsid w:val="009C091C"/>
    <w:rsid w:val="00A166E7"/>
    <w:rsid w:val="00A815C9"/>
    <w:rsid w:val="00A8764A"/>
    <w:rsid w:val="00A90D4B"/>
    <w:rsid w:val="00B252B9"/>
    <w:rsid w:val="00BD2A3B"/>
    <w:rsid w:val="00C879A3"/>
    <w:rsid w:val="00CA093B"/>
    <w:rsid w:val="00CE5262"/>
    <w:rsid w:val="00CF739F"/>
    <w:rsid w:val="00D0775B"/>
    <w:rsid w:val="00D1082F"/>
    <w:rsid w:val="00D20CF3"/>
    <w:rsid w:val="00D3648D"/>
    <w:rsid w:val="00D4421A"/>
    <w:rsid w:val="00D701E6"/>
    <w:rsid w:val="00D82C62"/>
    <w:rsid w:val="00D83D2B"/>
    <w:rsid w:val="00DB0100"/>
    <w:rsid w:val="00DF25E2"/>
    <w:rsid w:val="00E232C0"/>
    <w:rsid w:val="00E27183"/>
    <w:rsid w:val="00E80A29"/>
    <w:rsid w:val="00E87AF1"/>
    <w:rsid w:val="00EC4E22"/>
    <w:rsid w:val="00EF73B6"/>
    <w:rsid w:val="00F50C46"/>
    <w:rsid w:val="00F57C48"/>
    <w:rsid w:val="00F70E01"/>
    <w:rsid w:val="00F839BD"/>
    <w:rsid w:val="00FD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AD5DF-BD6A-46EF-9D07-0B220818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44E1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416</Characters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2016-08-16T02:21:00Z</dcterms:created>
  <dcterms:modified xsi:type="dcterms:W3CDTF">2016-08-16T02:42:00Z</dcterms:modified>
</cp:coreProperties>
</file>