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B5AF3" w14:textId="77777777" w:rsidR="000378DE" w:rsidRDefault="000378DE" w:rsidP="000378DE">
      <w:pPr>
        <w:spacing w:after="240"/>
        <w:jc w:val="center"/>
        <w:rPr>
          <w:rFonts w:ascii="EB Garamond" w:eastAsia="EB Garamond" w:hAnsi="EB Garamond" w:cs="EB Garamond"/>
          <w:b/>
          <w:sz w:val="24"/>
          <w:szCs w:val="24"/>
        </w:rPr>
      </w:pPr>
      <w:r w:rsidRPr="000378DE">
        <w:rPr>
          <w:rFonts w:ascii="EB Garamond" w:eastAsia="EB Garamond" w:hAnsi="EB Garamond" w:cs="EB Garamond"/>
          <w:b/>
          <w:sz w:val="24"/>
          <w:szCs w:val="24"/>
        </w:rPr>
        <w:t xml:space="preserve">UM CONVITE ÀS CIÊNCIAS SOCIAIS: A PRODUÇÃO </w:t>
      </w:r>
      <w:r>
        <w:rPr>
          <w:rFonts w:ascii="EB Garamond" w:eastAsia="EB Garamond" w:hAnsi="EB Garamond" w:cs="EB Garamond"/>
          <w:b/>
          <w:sz w:val="24"/>
          <w:szCs w:val="24"/>
        </w:rPr>
        <w:t xml:space="preserve">III SEMINÁRIO DISCENTE DO PPGS-UFPB E </w:t>
      </w:r>
      <w:r w:rsidRPr="000378DE">
        <w:rPr>
          <w:rFonts w:ascii="EB Garamond" w:eastAsia="EB Garamond" w:hAnsi="EB Garamond" w:cs="EB Garamond"/>
          <w:b/>
          <w:sz w:val="24"/>
          <w:szCs w:val="24"/>
        </w:rPr>
        <w:t>SEU MOMENTO HISTÓRICO</w:t>
      </w:r>
    </w:p>
    <w:p w14:paraId="00000002" w14:textId="42F49BD7" w:rsidR="006C1F04" w:rsidRDefault="00000000" w:rsidP="000378DE">
      <w:pPr>
        <w:spacing w:after="240"/>
        <w:jc w:val="center"/>
        <w:rPr>
          <w:rFonts w:ascii="EB Garamond" w:eastAsia="EB Garamond" w:hAnsi="EB Garamond" w:cs="EB Garamond"/>
          <w:b/>
          <w:sz w:val="24"/>
          <w:szCs w:val="24"/>
        </w:rPr>
      </w:pPr>
      <w:r>
        <w:rPr>
          <w:rFonts w:ascii="EB Garamond" w:eastAsia="EB Garamond" w:hAnsi="EB Garamond" w:cs="EB Garamond"/>
          <w:b/>
          <w:sz w:val="24"/>
          <w:szCs w:val="24"/>
        </w:rPr>
        <w:t xml:space="preserve"> </w:t>
      </w:r>
    </w:p>
    <w:p w14:paraId="00000004" w14:textId="77777777" w:rsidR="006C1F04" w:rsidRDefault="00000000">
      <w:pPr>
        <w:spacing w:before="240" w:after="24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Por Maria Clara Menezes e Rafael Teixeira de Abreu</w:t>
      </w:r>
    </w:p>
    <w:p w14:paraId="00000005" w14:textId="77777777" w:rsidR="006C1F04" w:rsidRDefault="006C1F04">
      <w:pPr>
        <w:spacing w:before="240" w:after="240"/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00000006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A Revista </w:t>
      </w:r>
      <w:r>
        <w:rPr>
          <w:rFonts w:ascii="EB Garamond" w:eastAsia="EB Garamond" w:hAnsi="EB Garamond" w:cs="EB Garamond"/>
          <w:i/>
          <w:sz w:val="26"/>
          <w:szCs w:val="26"/>
        </w:rPr>
        <w:t xml:space="preserve">Abordagens </w:t>
      </w:r>
      <w:r>
        <w:rPr>
          <w:rFonts w:ascii="EB Garamond" w:eastAsia="EB Garamond" w:hAnsi="EB Garamond" w:cs="EB Garamond"/>
          <w:sz w:val="26"/>
          <w:szCs w:val="26"/>
        </w:rPr>
        <w:t xml:space="preserve">tem o prazer de receber, nesta forma de </w:t>
      </w:r>
      <w:r>
        <w:rPr>
          <w:rFonts w:ascii="EB Garamond" w:eastAsia="EB Garamond" w:hAnsi="EB Garamond" w:cs="EB Garamond"/>
          <w:i/>
          <w:sz w:val="26"/>
          <w:szCs w:val="26"/>
        </w:rPr>
        <w:t>Número especial</w:t>
      </w:r>
      <w:r>
        <w:rPr>
          <w:rFonts w:ascii="EB Garamond" w:eastAsia="EB Garamond" w:hAnsi="EB Garamond" w:cs="EB Garamond"/>
          <w:sz w:val="26"/>
          <w:szCs w:val="26"/>
        </w:rPr>
        <w:t xml:space="preserve">, os trabalhos apresentados, aprovados e recomendados para submissão na forma de artigo completo a partir das atividades do III Seminário Discente do Programa de Pós-Graduação em Sociologia da Universidade Federal da Paraíba (PPGS-UFPB). Os artigos, orientados teoricamente a partir dos Grupos de Trabalho a que foram submetidos, contam com diversos temas que atravessaram o evento de forma geral. E que, sob vários prismas, buscaram transversalizar discussões do todo social que nos cerca e que demanda mudanças e olhares aprofundados. Ao fim, nesta apresentação, trataremos de expor um pouco mais sobre os artigos que seguem a esta edição especial e que contaram com o trabalho e realização de seus autores, editores e de todo o pessoal envolvido, tanto da organização de nossa revista quanto do evento que antecedeu a este </w:t>
      </w:r>
      <w:r>
        <w:rPr>
          <w:rFonts w:ascii="EB Garamond" w:eastAsia="EB Garamond" w:hAnsi="EB Garamond" w:cs="EB Garamond"/>
          <w:i/>
          <w:sz w:val="26"/>
          <w:szCs w:val="26"/>
        </w:rPr>
        <w:t>Número</w:t>
      </w:r>
      <w:r>
        <w:rPr>
          <w:rFonts w:ascii="EB Garamond" w:eastAsia="EB Garamond" w:hAnsi="EB Garamond" w:cs="EB Garamond"/>
          <w:sz w:val="26"/>
          <w:szCs w:val="26"/>
        </w:rPr>
        <w:t>.</w:t>
      </w:r>
    </w:p>
    <w:p w14:paraId="00000007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 O III Seminário Discente PPGS-UFPB foi uma iniciativa conduzida por alunas, alunos e alun</w:t>
      </w:r>
      <w:r>
        <w:rPr>
          <w:rFonts w:ascii="EB Garamond" w:eastAsia="EB Garamond" w:hAnsi="EB Garamond" w:cs="EB Garamond"/>
          <w:i/>
          <w:sz w:val="26"/>
          <w:szCs w:val="26"/>
        </w:rPr>
        <w:t>e</w:t>
      </w:r>
      <w:r>
        <w:rPr>
          <w:rFonts w:ascii="EB Garamond" w:eastAsia="EB Garamond" w:hAnsi="EB Garamond" w:cs="EB Garamond"/>
          <w:sz w:val="26"/>
          <w:szCs w:val="26"/>
        </w:rPr>
        <w:t>s do presente Programa de Pós-Graduação, tanto em nível de Mestrado quanto de Doutorado, em parceria com a secretaria do Departamento de Ciências Sociais (DCS) e com a coordenação do PPGS. Em seu terceiro ano, e segundo de forma presencial, o evento teve como tema “</w:t>
      </w:r>
      <w:r>
        <w:rPr>
          <w:rFonts w:ascii="EB Garamond" w:eastAsia="EB Garamond" w:hAnsi="EB Garamond" w:cs="EB Garamond"/>
          <w:sz w:val="26"/>
          <w:szCs w:val="26"/>
          <w:u w:val="single"/>
        </w:rPr>
        <w:t>Sociologias, modernidades e crises: impactos de novas tecnologias no fazer sociológico</w:t>
      </w:r>
      <w:r>
        <w:rPr>
          <w:rFonts w:ascii="EB Garamond" w:eastAsia="EB Garamond" w:hAnsi="EB Garamond" w:cs="EB Garamond"/>
          <w:sz w:val="26"/>
          <w:szCs w:val="26"/>
        </w:rPr>
        <w:t xml:space="preserve">”, considerando os efeitos do uso de tecnologias cada vez mais situadas não só no fazer sociológico como via de pesquisa e trabalho de campo, mas, também, na construção de novos objetos teóricos e epistemológicos que levam a Sociologia a um outro nível de interpretação, ao debater, precisamente, os produtos destes </w:t>
      </w:r>
      <w:r>
        <w:rPr>
          <w:rFonts w:ascii="EB Garamond" w:eastAsia="EB Garamond" w:hAnsi="EB Garamond" w:cs="EB Garamond"/>
          <w:i/>
          <w:sz w:val="26"/>
          <w:szCs w:val="26"/>
        </w:rPr>
        <w:t>tempos modernos</w:t>
      </w:r>
      <w:r>
        <w:rPr>
          <w:rFonts w:ascii="EB Garamond" w:eastAsia="EB Garamond" w:hAnsi="EB Garamond" w:cs="EB Garamond"/>
          <w:sz w:val="26"/>
          <w:szCs w:val="26"/>
        </w:rPr>
        <w:t>.</w:t>
      </w:r>
    </w:p>
    <w:p w14:paraId="00000008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As atividades do III SD PPGS-UFPB ocorreram de forma presencial, nos dias 29, 30 e 31 (terça, quarta e quinta-feira) de agosto de 2023, no Centro de Ciências Humanas, Letras </w:t>
      </w:r>
      <w:r>
        <w:rPr>
          <w:rFonts w:ascii="EB Garamond" w:eastAsia="EB Garamond" w:hAnsi="EB Garamond" w:cs="EB Garamond"/>
          <w:sz w:val="26"/>
          <w:szCs w:val="26"/>
        </w:rPr>
        <w:lastRenderedPageBreak/>
        <w:t>e Artes (CCHLA), no Campus I da UFPB. A programação se deu às tardes e noites, das 14h às 22h. O evento foi aberto a ampla comunidade acadêmica e extra-acadêmica, e especialmente voltado aos estudantes de graduação e pós-graduação de universidades públicas e particulares, bem como mestres e doutores já praticantes e inseridos na academia e/ou no mercado de trabalho.</w:t>
      </w:r>
    </w:p>
    <w:p w14:paraId="00000009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Naquela edição do evento, trazida aqui enquanto </w:t>
      </w:r>
      <w:r>
        <w:rPr>
          <w:rFonts w:ascii="EB Garamond" w:eastAsia="EB Garamond" w:hAnsi="EB Garamond" w:cs="EB Garamond"/>
          <w:i/>
          <w:sz w:val="26"/>
          <w:szCs w:val="26"/>
        </w:rPr>
        <w:t>Número especial</w:t>
      </w:r>
      <w:r>
        <w:rPr>
          <w:rFonts w:ascii="EB Garamond" w:eastAsia="EB Garamond" w:hAnsi="EB Garamond" w:cs="EB Garamond"/>
          <w:sz w:val="26"/>
          <w:szCs w:val="26"/>
        </w:rPr>
        <w:t>, sua estrutura contou com 7 grupos temáticos que se comunicaram com as linhas de pesquisa do referido Programa e que compõem um leque de temas e posições onde, como quase tudo na Sociologia, as (novas) tecnologias podem seguir promovendo seus efeitos, sejam eles positivos ou não. Os Grupos de Trabalho foram divididos entre Sociedade e Educação; Saúde e Corpos; Culturas, Territórios e Sociabilidades; Gêneros e Sexualidades; Marcadores Sociais da Diferença; Trabalho e Desenvolvimento; e Teorias sociológicas, com o apelo de favorecer não apenas discussões críticas sobre as temáticas propostas, mas a percepção multidisciplinar em que a disciplina de Sociologia deve estar inserida e onde seus atores – pesquisadores, professores, alun</w:t>
      </w:r>
      <w:r>
        <w:rPr>
          <w:rFonts w:ascii="EB Garamond" w:eastAsia="EB Garamond" w:hAnsi="EB Garamond" w:cs="EB Garamond"/>
          <w:i/>
          <w:sz w:val="26"/>
          <w:szCs w:val="26"/>
        </w:rPr>
        <w:t>e</w:t>
      </w:r>
      <w:r>
        <w:rPr>
          <w:rFonts w:ascii="EB Garamond" w:eastAsia="EB Garamond" w:hAnsi="EB Garamond" w:cs="EB Garamond"/>
          <w:sz w:val="26"/>
          <w:szCs w:val="26"/>
        </w:rPr>
        <w:t>s e afins – estão imersos.</w:t>
      </w:r>
    </w:p>
    <w:p w14:paraId="0000000A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>Assim como os Grupos de Trabalho que os receberam, os artigos que seguem esta edição estão estruturados em torno de temas comuns ao todo social e as Ciências Sociais, enquanto disciplina – como Educação, Trabalho, Migração, Raça, Métodos de Pesquisa, Relatos de experiência etc. – e que visam a ser um aporte teórico-metodológico para estipular os efeitos da Sociologia – enquanto disciplina – na sociedade e vice-versa. Especialmente, com as vantagens e desvantagens deste mundo tecnológico, em constante transformação.</w:t>
      </w:r>
    </w:p>
    <w:p w14:paraId="0000000B" w14:textId="186D1E9A" w:rsidR="006C1F04" w:rsidRPr="009039B6" w:rsidRDefault="00000000" w:rsidP="009039B6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No início deste </w:t>
      </w:r>
      <w:r>
        <w:rPr>
          <w:rFonts w:ascii="EB Garamond" w:eastAsia="EB Garamond" w:hAnsi="EB Garamond" w:cs="EB Garamond"/>
          <w:i/>
          <w:sz w:val="26"/>
          <w:szCs w:val="26"/>
        </w:rPr>
        <w:t>Número</w:t>
      </w:r>
      <w:r>
        <w:rPr>
          <w:rFonts w:ascii="EB Garamond" w:eastAsia="EB Garamond" w:hAnsi="EB Garamond" w:cs="EB Garamond"/>
          <w:sz w:val="26"/>
          <w:szCs w:val="26"/>
        </w:rPr>
        <w:t xml:space="preserve">, contamos com o artigo intitulado “Antropologia da morte e metodologia: uma etnografia hospitalar no Hospital Napoleão Laureano”, de Weverson Bezerra Silva, e que tem como objetivo descrever os desafios enfrentados durante a produção de sua dissertação. Uma pesquisa etnográfica realizada no hospital visando a observar as relações e as práticas sociais com pacientes com câncer em cuidados paliativos. O autor faz uma importante reflexão sobre o desenvolvimento de sua etnografia, destacando o </w:t>
      </w:r>
      <w:r>
        <w:rPr>
          <w:rFonts w:ascii="EB Garamond" w:eastAsia="EB Garamond" w:hAnsi="EB Garamond" w:cs="EB Garamond"/>
          <w:sz w:val="26"/>
          <w:szCs w:val="26"/>
        </w:rPr>
        <w:lastRenderedPageBreak/>
        <w:t>estranhamento inicial que surgiu ainda na seleção de mestrado, demonstrando que o ambiente hospitalar ainda é visto como um espaço estranho às ciências sociais.</w:t>
      </w:r>
    </w:p>
    <w:p w14:paraId="0000000C" w14:textId="6DB7BAC4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 segundo artigo, </w:t>
      </w:r>
      <w:r w:rsidR="00344CBB">
        <w:rPr>
          <w:rFonts w:ascii="EB Garamond" w:eastAsia="EB Garamond" w:hAnsi="EB Garamond" w:cs="EB Garamond"/>
          <w:sz w:val="26"/>
          <w:szCs w:val="26"/>
        </w:rPr>
        <w:t xml:space="preserve">“Análise das ações direcionadas ao artesanato Warao”, de Rodrigo Marinho Alexandre, apresenta um estudo sobre a comunidade indígena venezuelana Warao. O autor trabalha com a relação entre a produção do artesanato e as políticas públicas, entendendo essa produção como um elemento de pertencimento e reafirmação da cultura de indivíduos em situação de refúgio. Existem políticas públicas direcionadas a esse grupo?  Os marcadores sociais podem explicar a ausência de iniciativas governamentais? São pessoas refugiadas cruzando suas fronteiras em busca de </w:t>
      </w:r>
      <w:r w:rsidR="00344CBB" w:rsidRPr="00907C76">
        <w:rPr>
          <w:rFonts w:ascii="EB Garamond" w:eastAsia="EB Garamond" w:hAnsi="EB Garamond" w:cs="EB Garamond"/>
          <w:sz w:val="26"/>
          <w:szCs w:val="26"/>
        </w:rPr>
        <w:t>dignidade</w:t>
      </w:r>
      <w:r w:rsidR="00344CBB">
        <w:rPr>
          <w:rFonts w:ascii="EB Garamond" w:eastAsia="EB Garamond" w:hAnsi="EB Garamond" w:cs="EB Garamond"/>
          <w:sz w:val="26"/>
          <w:szCs w:val="26"/>
        </w:rPr>
        <w:t xml:space="preserve">, é nesse sentido que o texto é construído. </w:t>
      </w:r>
    </w:p>
    <w:p w14:paraId="66333BE6" w14:textId="77777777" w:rsidR="008316BF" w:rsidRDefault="00000000" w:rsidP="008316BF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 artigo </w:t>
      </w:r>
      <w:r w:rsidR="008316BF">
        <w:rPr>
          <w:rFonts w:ascii="EB Garamond" w:eastAsia="EB Garamond" w:hAnsi="EB Garamond" w:cs="EB Garamond"/>
          <w:sz w:val="26"/>
          <w:szCs w:val="26"/>
        </w:rPr>
        <w:t>“Aproximações metodológicas entre o design gráfico e a antropologia: um glossário virtual a partir da vivência na aldeia com os povos da etnia Potiguara”, de Paula Luana Moreira Cruz e Alícia Ferreira Gonçalves, apresenta uma iniciativa chamada glossário virtual elaborado pelas autoras. Trata-se de uma forma de união de imagens e seus significados produzidos pela etnia Potiguara pertencentes a três aldeias. O objetivo do glossário é desafiar a nossa perspectiva sobre a fotografia, evocando a dimensão do testemunho e da construção de significados culturais. As autoras argumentam que a fotografia não apenas registra, mas também interpreta e comunica a riqueza cultural dos povos Potiguara, promovendo uma maior visibilidade e valorização da sua história e cultura na sociedade contemporânea.</w:t>
      </w:r>
    </w:p>
    <w:p w14:paraId="0000000E" w14:textId="4E11D0BE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 próximo trabalho, intitulado “Transmaternidade, sistema prisional e violência de gênero: um diálogo ao encontro dos direitos humanos”, de Paulo Sérgio dos Santos Campelo e Marlene Helena de Oliveira França faz uma incursão sobre um dos grandes problemas enfrentados no Brasil, o genocídio da população LGBTQIA+. O artigo tem por objetivo discutir e compreender os processos de violação de direitos humanos de </w:t>
      </w:r>
      <w:r w:rsidRPr="00907C76">
        <w:rPr>
          <w:rFonts w:ascii="EB Garamond" w:eastAsia="EB Garamond" w:hAnsi="EB Garamond" w:cs="EB Garamond"/>
          <w:sz w:val="26"/>
          <w:szCs w:val="26"/>
        </w:rPr>
        <w:t>mulheres trans</w:t>
      </w:r>
      <w:r>
        <w:rPr>
          <w:rFonts w:ascii="EB Garamond" w:eastAsia="EB Garamond" w:hAnsi="EB Garamond" w:cs="EB Garamond"/>
          <w:sz w:val="26"/>
          <w:szCs w:val="26"/>
        </w:rPr>
        <w:t xml:space="preserve"> privadas de liberdade, com ênfase no exercício do direito à maternidade. É possível perceber </w:t>
      </w:r>
      <w:r>
        <w:rPr>
          <w:rFonts w:ascii="EB Garamond" w:eastAsia="EB Garamond" w:hAnsi="EB Garamond" w:cs="EB Garamond"/>
          <w:sz w:val="26"/>
          <w:szCs w:val="26"/>
        </w:rPr>
        <w:lastRenderedPageBreak/>
        <w:t xml:space="preserve">que tal temática ainda é pouco abordada, por isso trata-se de um estudo significativo, um debate sobre uma população </w:t>
      </w:r>
      <w:r w:rsidR="00907C76" w:rsidRPr="00907C76">
        <w:rPr>
          <w:rFonts w:ascii="EB Garamond" w:eastAsia="EB Garamond" w:hAnsi="EB Garamond" w:cs="EB Garamond"/>
          <w:sz w:val="26"/>
          <w:szCs w:val="26"/>
        </w:rPr>
        <w:t>frequentemente negligenciada pelo Estado e pela academia.</w:t>
      </w:r>
    </w:p>
    <w:p w14:paraId="5E79CF3F" w14:textId="2A243B2C" w:rsidR="008316BF" w:rsidRDefault="00000000" w:rsidP="008316BF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 seguinte artigo </w:t>
      </w:r>
      <w:r w:rsidR="00ED2D14">
        <w:rPr>
          <w:rFonts w:ascii="EB Garamond" w:eastAsia="EB Garamond" w:hAnsi="EB Garamond" w:cs="EB Garamond"/>
          <w:sz w:val="26"/>
          <w:szCs w:val="26"/>
        </w:rPr>
        <w:t>“Transposição Didática: Um Relato de Experiência Através do Programa de Residência Pedagógica na E.E.E.F.M. Dr. Otávio Novais”, de Karolayne Leonardo Costa e Rita de Cassia Santos de Lira, faz uma reflexão acerca do processo de transposição didática. Discutem as dificuldades e os desafios enfrentados ao adaptar e traduzir o conhecimento acadêmico para o contexto da educação básica. As autoras destacam a importância da conexão entre teoria e prática na formação de professores de Sociologia, e a necessidade tornar os conceitos mais acessíveis e, consequentemente, mais significativos aos estudantes.</w:t>
      </w:r>
    </w:p>
    <w:p w14:paraId="0E498DC5" w14:textId="0BB1CB69" w:rsidR="004C0272" w:rsidRDefault="00EE422C" w:rsidP="00522006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 w:rsidRPr="00EE422C">
        <w:rPr>
          <w:rFonts w:ascii="EB Garamond" w:eastAsia="EB Garamond" w:hAnsi="EB Garamond" w:cs="EB Garamond"/>
          <w:sz w:val="26"/>
          <w:szCs w:val="26"/>
        </w:rPr>
        <w:t>Em “</w:t>
      </w:r>
      <w:r w:rsidR="00B47222" w:rsidRPr="00EE422C">
        <w:rPr>
          <w:rFonts w:ascii="EB Garamond" w:eastAsia="EB Garamond" w:hAnsi="EB Garamond" w:cs="EB Garamond"/>
          <w:sz w:val="26"/>
          <w:szCs w:val="26"/>
        </w:rPr>
        <w:t>A Transgressão Da Sexualidade E A Identidade De Gênero No Contexto Universitário</w:t>
      </w:r>
      <w:r w:rsidR="00522006" w:rsidRPr="00EE422C">
        <w:rPr>
          <w:rFonts w:ascii="EB Garamond" w:eastAsia="EB Garamond" w:hAnsi="EB Garamond" w:cs="EB Garamond"/>
          <w:sz w:val="26"/>
          <w:szCs w:val="26"/>
        </w:rPr>
        <w:t>: Uma análise performática entre os corpos dissidentes da UERN Campus Mossoró</w:t>
      </w:r>
      <w:r w:rsidR="00B47222" w:rsidRPr="00EE422C">
        <w:rPr>
          <w:rFonts w:ascii="EB Garamond" w:eastAsia="EB Garamond" w:hAnsi="EB Garamond" w:cs="EB Garamond"/>
          <w:sz w:val="26"/>
          <w:szCs w:val="26"/>
        </w:rPr>
        <w:t>”</w:t>
      </w:r>
      <w:r w:rsidR="00A773E2">
        <w:rPr>
          <w:rFonts w:ascii="EB Garamond" w:eastAsia="EB Garamond" w:hAnsi="EB Garamond" w:cs="EB Garamond"/>
          <w:sz w:val="26"/>
          <w:szCs w:val="26"/>
        </w:rPr>
        <w:t xml:space="preserve">, </w:t>
      </w:r>
      <w:r w:rsidR="00A773E2">
        <w:rPr>
          <w:rFonts w:ascii="Garamond" w:hAnsi="Garamond"/>
          <w:sz w:val="28"/>
          <w:szCs w:val="28"/>
        </w:rPr>
        <w:t>Salatiel Figueredo Vicente</w:t>
      </w:r>
      <w:r w:rsidR="00F63F05">
        <w:rPr>
          <w:rFonts w:ascii="Garamond" w:hAnsi="Garamond"/>
          <w:sz w:val="28"/>
          <w:szCs w:val="28"/>
        </w:rPr>
        <w:t xml:space="preserve"> </w:t>
      </w:r>
      <w:r w:rsidR="00B47222" w:rsidRPr="00E52416">
        <w:rPr>
          <w:rFonts w:ascii="EB Garamond" w:eastAsia="EB Garamond" w:hAnsi="EB Garamond" w:cs="EB Garamond"/>
          <w:sz w:val="26"/>
          <w:szCs w:val="26"/>
        </w:rPr>
        <w:t xml:space="preserve">investiga a transgressão da sexualidade e da identidade de gênero no contexto universitário. O foco principal é a análise performática dos corpos dissidentes, ou seja, aqueles que desafiam as normas de gênero e sexualidade estabelecidas pela sociedade cisnormativa. A pesquisa se baseia nos pressupostos da teoria </w:t>
      </w:r>
      <w:r w:rsidR="00B47222" w:rsidRPr="00E52416">
        <w:rPr>
          <w:rFonts w:ascii="EB Garamond" w:eastAsia="EB Garamond" w:hAnsi="EB Garamond" w:cs="EB Garamond"/>
          <w:i/>
          <w:iCs/>
          <w:sz w:val="26"/>
          <w:szCs w:val="26"/>
        </w:rPr>
        <w:t>queer,</w:t>
      </w:r>
      <w:r w:rsidR="00B47222" w:rsidRPr="00E52416">
        <w:rPr>
          <w:rFonts w:ascii="EB Garamond" w:eastAsia="EB Garamond" w:hAnsi="EB Garamond" w:cs="EB Garamond"/>
          <w:sz w:val="26"/>
          <w:szCs w:val="26"/>
        </w:rPr>
        <w:t xml:space="preserve"> que questiona as categorias tradicionais de gênero e sexualidade, e que reconhece a fluidez e a diversidade das experiências humanas. O autor argumenta que a comunidade LGBTQIA+ desempenha um papel fundamental no cenário político, especialmente nas representações do corpo. No entanto, a performance do corpo é frequentemente inviabilizada pelos preconceitos e pelos preceitos da sociedade cisnormativa.</w:t>
      </w:r>
    </w:p>
    <w:p w14:paraId="00000010" w14:textId="45E895F9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 </w:t>
      </w:r>
      <w:r w:rsidR="00AF6D60">
        <w:rPr>
          <w:rFonts w:ascii="EB Garamond" w:eastAsia="EB Garamond" w:hAnsi="EB Garamond" w:cs="EB Garamond"/>
          <w:sz w:val="26"/>
          <w:szCs w:val="26"/>
        </w:rPr>
        <w:t>pen</w:t>
      </w:r>
      <w:r>
        <w:rPr>
          <w:rFonts w:ascii="EB Garamond" w:eastAsia="EB Garamond" w:hAnsi="EB Garamond" w:cs="EB Garamond"/>
          <w:sz w:val="26"/>
          <w:szCs w:val="26"/>
        </w:rPr>
        <w:t xml:space="preserve">último artigo </w:t>
      </w:r>
      <w:r w:rsidR="00ED2D14">
        <w:rPr>
          <w:rFonts w:ascii="EB Garamond" w:eastAsia="EB Garamond" w:hAnsi="EB Garamond" w:cs="EB Garamond"/>
          <w:sz w:val="26"/>
          <w:szCs w:val="26"/>
        </w:rPr>
        <w:t xml:space="preserve">“Gestão da força de trabalho no capitalismo de plataforma”, de Thaís Lopes Vasconcelos e Cláudia M. Costa Gomes, busca refletir sobre as mudanças na dinâmica de exploração do capitalismo contemporâneo, em especial o advento da plataformização dos serviços e, consequentemente, da economia. A dinâmica da dependência é expandida pela lógica dos algoritmos que são produzidos, e protegidos, por países do capitalismo central. O texto discute a crescente importância dessas plataformas na </w:t>
      </w:r>
      <w:r w:rsidR="00ED2D14">
        <w:rPr>
          <w:rFonts w:ascii="EB Garamond" w:eastAsia="EB Garamond" w:hAnsi="EB Garamond" w:cs="EB Garamond"/>
          <w:sz w:val="26"/>
          <w:szCs w:val="26"/>
        </w:rPr>
        <w:lastRenderedPageBreak/>
        <w:t xml:space="preserve">composição da renda dos trabalhadores brasileiros, seu papel na flexibilização e precarização dos postos de trabalho e sua suposta neutralidade. </w:t>
      </w:r>
    </w:p>
    <w:p w14:paraId="7A45D91E" w14:textId="321EE31B" w:rsidR="00AF6D60" w:rsidRPr="00AF6D60" w:rsidRDefault="00AF6D60" w:rsidP="00612432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E por fim, </w:t>
      </w:r>
      <w:r w:rsidR="00CB7138">
        <w:rPr>
          <w:rFonts w:ascii="EB Garamond" w:eastAsia="EB Garamond" w:hAnsi="EB Garamond" w:cs="EB Garamond"/>
          <w:sz w:val="26"/>
          <w:szCs w:val="26"/>
        </w:rPr>
        <w:t>“</w:t>
      </w:r>
      <w:r w:rsidRPr="00CB7138">
        <w:rPr>
          <w:rFonts w:ascii="EB Garamond" w:eastAsia="EB Garamond" w:hAnsi="EB Garamond" w:cs="EB Garamond"/>
          <w:sz w:val="26"/>
          <w:szCs w:val="26"/>
        </w:rPr>
        <w:t>Abjeção, Gênero e Sexualidade: Reflexões a partir da Proibição do Uso do Banheiro pelas Pessoas Trans no Brasil</w:t>
      </w:r>
      <w:r w:rsidR="00CB7138">
        <w:rPr>
          <w:rFonts w:ascii="EB Garamond" w:eastAsia="EB Garamond" w:hAnsi="EB Garamond" w:cs="EB Garamond"/>
          <w:sz w:val="26"/>
          <w:szCs w:val="26"/>
        </w:rPr>
        <w:t>”</w:t>
      </w:r>
      <w:r w:rsidR="00684A8A">
        <w:rPr>
          <w:rFonts w:ascii="EB Garamond" w:eastAsia="EB Garamond" w:hAnsi="EB Garamond" w:cs="EB Garamond"/>
          <w:sz w:val="26"/>
          <w:szCs w:val="26"/>
        </w:rPr>
        <w:t xml:space="preserve">, de </w:t>
      </w:r>
      <w:r w:rsidR="00684A8A" w:rsidRPr="0021076C">
        <w:rPr>
          <w:rFonts w:ascii="Garamond" w:hAnsi="Garamond"/>
          <w:sz w:val="26"/>
          <w:szCs w:val="26"/>
        </w:rPr>
        <w:t>Iago Henrique Fernandes de Sousa Moura</w:t>
      </w:r>
      <w:r w:rsidR="00E548D4">
        <w:rPr>
          <w:rFonts w:ascii="Garamond" w:hAnsi="Garamond"/>
          <w:sz w:val="26"/>
          <w:szCs w:val="26"/>
        </w:rPr>
        <w:t>,</w:t>
      </w:r>
      <w:r w:rsidR="00CB7138">
        <w:rPr>
          <w:rFonts w:ascii="EB Garamond" w:eastAsia="EB Garamond" w:hAnsi="EB Garamond" w:cs="EB Garamond"/>
          <w:sz w:val="26"/>
          <w:szCs w:val="26"/>
        </w:rPr>
        <w:t xml:space="preserve"> é </w:t>
      </w:r>
      <w:r w:rsidRPr="00AF6D60">
        <w:rPr>
          <w:rFonts w:ascii="EB Garamond" w:eastAsia="EB Garamond" w:hAnsi="EB Garamond" w:cs="EB Garamond"/>
          <w:sz w:val="26"/>
          <w:szCs w:val="26"/>
        </w:rPr>
        <w:t>resultado de uma pesquisa bibliográfica</w:t>
      </w:r>
      <w:r w:rsidR="00CB7138">
        <w:rPr>
          <w:rFonts w:ascii="EB Garamond" w:eastAsia="EB Garamond" w:hAnsi="EB Garamond" w:cs="EB Garamond"/>
          <w:sz w:val="26"/>
          <w:szCs w:val="26"/>
        </w:rPr>
        <w:t xml:space="preserve"> </w:t>
      </w:r>
      <w:r w:rsidR="00345C25">
        <w:rPr>
          <w:rFonts w:ascii="EB Garamond" w:eastAsia="EB Garamond" w:hAnsi="EB Garamond" w:cs="EB Garamond"/>
          <w:sz w:val="26"/>
          <w:szCs w:val="26"/>
        </w:rPr>
        <w:t xml:space="preserve">que </w:t>
      </w:r>
      <w:r w:rsidR="00345C25" w:rsidRPr="00AF6D60">
        <w:rPr>
          <w:rFonts w:ascii="EB Garamond" w:eastAsia="EB Garamond" w:hAnsi="EB Garamond" w:cs="EB Garamond"/>
          <w:sz w:val="26"/>
          <w:szCs w:val="26"/>
        </w:rPr>
        <w:t>analisa</w:t>
      </w:r>
      <w:r w:rsidRPr="00AF6D60">
        <w:rPr>
          <w:rFonts w:ascii="EB Garamond" w:eastAsia="EB Garamond" w:hAnsi="EB Garamond" w:cs="EB Garamond"/>
          <w:sz w:val="26"/>
          <w:szCs w:val="26"/>
        </w:rPr>
        <w:t xml:space="preserve"> a proibição do uso do banheiro pelas pessoas trans no Brasil, explorando suas implicações em relação à abjeção, gênero e sexualidade. A lógica binária de gênero, que opera uma distinção entre corpos considerados inteligíveis e aqueles que estão fora dela, é apontada como a raiz da discriminação e da violência contra as pessoas trans.</w:t>
      </w:r>
      <w:r w:rsidR="00612432">
        <w:rPr>
          <w:rFonts w:ascii="EB Garamond" w:eastAsia="EB Garamond" w:hAnsi="EB Garamond" w:cs="EB Garamond"/>
          <w:sz w:val="26"/>
          <w:szCs w:val="26"/>
        </w:rPr>
        <w:t xml:space="preserve"> </w:t>
      </w:r>
      <w:r w:rsidRPr="00AF6D60">
        <w:rPr>
          <w:rFonts w:ascii="EB Garamond" w:eastAsia="EB Garamond" w:hAnsi="EB Garamond" w:cs="EB Garamond"/>
          <w:sz w:val="26"/>
          <w:szCs w:val="26"/>
        </w:rPr>
        <w:t>O autor, utilizando conceitos de Judith Butler e Paul Preciado, demonstra como o corpo trans é visto como uma ameaça à ordem social estabelecida, sendo alvo de discriminações, humilhações e, em casos extremos, de assassinatos.</w:t>
      </w:r>
    </w:p>
    <w:p w14:paraId="00000011" w14:textId="77777777" w:rsidR="006C1F04" w:rsidRDefault="00000000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Os artigos descritos compõem em texto a transversalidade de saberes e posições teórico-metodológicas sobre os diversos temas concernentes ao todo social e a Sociologia enquanto disciplina teórica. Este </w:t>
      </w:r>
      <w:r>
        <w:rPr>
          <w:rFonts w:ascii="EB Garamond" w:eastAsia="EB Garamond" w:hAnsi="EB Garamond" w:cs="EB Garamond"/>
          <w:i/>
          <w:sz w:val="26"/>
          <w:szCs w:val="26"/>
        </w:rPr>
        <w:t xml:space="preserve">Número especial </w:t>
      </w:r>
      <w:r>
        <w:rPr>
          <w:rFonts w:ascii="EB Garamond" w:eastAsia="EB Garamond" w:hAnsi="EB Garamond" w:cs="EB Garamond"/>
          <w:sz w:val="26"/>
          <w:szCs w:val="26"/>
        </w:rPr>
        <w:t xml:space="preserve">busca estabelecer conexões sociológicas e práticas e promover novas discussões que possam ensejar pesquisas futuras ao longo do tempo. </w:t>
      </w:r>
    </w:p>
    <w:p w14:paraId="481B64AA" w14:textId="77777777" w:rsidR="008D324F" w:rsidRDefault="00000000" w:rsidP="00907C76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 xml:space="preserve">Em especial, agradecemos aos autores e organizadores envolvidos neste </w:t>
      </w:r>
      <w:r>
        <w:rPr>
          <w:rFonts w:ascii="EB Garamond" w:eastAsia="EB Garamond" w:hAnsi="EB Garamond" w:cs="EB Garamond"/>
          <w:i/>
          <w:sz w:val="26"/>
          <w:szCs w:val="26"/>
        </w:rPr>
        <w:t>Número</w:t>
      </w:r>
      <w:r>
        <w:rPr>
          <w:rFonts w:ascii="EB Garamond" w:eastAsia="EB Garamond" w:hAnsi="EB Garamond" w:cs="EB Garamond"/>
          <w:sz w:val="26"/>
          <w:szCs w:val="26"/>
        </w:rPr>
        <w:t xml:space="preserve">. </w:t>
      </w:r>
      <w:r w:rsidR="008D324F">
        <w:rPr>
          <w:rFonts w:ascii="EB Garamond" w:eastAsia="EB Garamond" w:hAnsi="EB Garamond" w:cs="EB Garamond"/>
          <w:sz w:val="26"/>
          <w:szCs w:val="26"/>
        </w:rPr>
        <w:t xml:space="preserve"> </w:t>
      </w:r>
    </w:p>
    <w:p w14:paraId="1D8609ED" w14:textId="77777777" w:rsidR="008D324F" w:rsidRDefault="008D324F" w:rsidP="00907C76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</w:p>
    <w:p w14:paraId="00000016" w14:textId="5DF1BA54" w:rsidR="006C1F04" w:rsidRDefault="00000000" w:rsidP="00907C76">
      <w:pPr>
        <w:spacing w:line="360" w:lineRule="auto"/>
        <w:ind w:firstLine="700"/>
        <w:jc w:val="both"/>
        <w:rPr>
          <w:rFonts w:ascii="EB Garamond" w:eastAsia="EB Garamond" w:hAnsi="EB Garamond" w:cs="EB Garamond"/>
          <w:sz w:val="26"/>
          <w:szCs w:val="26"/>
        </w:rPr>
      </w:pPr>
      <w:r>
        <w:rPr>
          <w:rFonts w:ascii="EB Garamond" w:eastAsia="EB Garamond" w:hAnsi="EB Garamond" w:cs="EB Garamond"/>
          <w:sz w:val="26"/>
          <w:szCs w:val="26"/>
        </w:rPr>
        <w:t>Boa leitura</w:t>
      </w:r>
      <w:r w:rsidR="00345C25">
        <w:rPr>
          <w:rFonts w:ascii="EB Garamond" w:eastAsia="EB Garamond" w:hAnsi="EB Garamond" w:cs="EB Garamond"/>
          <w:sz w:val="26"/>
          <w:szCs w:val="26"/>
        </w:rPr>
        <w:t>!</w:t>
      </w:r>
    </w:p>
    <w:sectPr w:rsidR="006C1F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61173083-DEC6-42AE-8818-1A14495814B1}"/>
    <w:embedBold r:id="rId2" w:fontKey="{6C42497B-184D-4FD1-8FBE-473B2A7113E0}"/>
    <w:embedItalic r:id="rId3" w:fontKey="{2544035D-B637-4D50-9760-3F1D680B2CC3}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D64B26F0-88B6-4DB3-B26F-0963A18B7C8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8C80CF2-FC2B-41B8-818D-786F2D2580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B2B3CF-B8A8-4830-B606-5DCE38A656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04"/>
    <w:rsid w:val="000378DE"/>
    <w:rsid w:val="001070E2"/>
    <w:rsid w:val="00344CBB"/>
    <w:rsid w:val="00345C25"/>
    <w:rsid w:val="003D14A9"/>
    <w:rsid w:val="004C0272"/>
    <w:rsid w:val="00522006"/>
    <w:rsid w:val="00612432"/>
    <w:rsid w:val="00684A8A"/>
    <w:rsid w:val="006C1F04"/>
    <w:rsid w:val="007524C4"/>
    <w:rsid w:val="008316BF"/>
    <w:rsid w:val="008D324F"/>
    <w:rsid w:val="009039B6"/>
    <w:rsid w:val="00907C76"/>
    <w:rsid w:val="009270D7"/>
    <w:rsid w:val="00A54C9C"/>
    <w:rsid w:val="00A773E2"/>
    <w:rsid w:val="00AF6D60"/>
    <w:rsid w:val="00B47222"/>
    <w:rsid w:val="00C14C69"/>
    <w:rsid w:val="00C2100E"/>
    <w:rsid w:val="00CB7138"/>
    <w:rsid w:val="00E52416"/>
    <w:rsid w:val="00E548D4"/>
    <w:rsid w:val="00ED2D14"/>
    <w:rsid w:val="00EE422C"/>
    <w:rsid w:val="00F31CFE"/>
    <w:rsid w:val="00F6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20A7"/>
  <w15:docId w15:val="{F9E271EE-CD14-45CF-B115-0DD7DFF4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FD1ouCpEMlTfxW5bXsy0R25Hw==">CgMxLjA4AHIhMUJFYW9VMF9WcU1qNVV4QVNRa3ZOMVRYVEpkR2JsVTlx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1557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5583993602510</cp:lastModifiedBy>
  <cp:revision>26</cp:revision>
  <dcterms:created xsi:type="dcterms:W3CDTF">2024-07-18T20:38:00Z</dcterms:created>
  <dcterms:modified xsi:type="dcterms:W3CDTF">2024-08-06T20:34:00Z</dcterms:modified>
</cp:coreProperties>
</file>