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6AE" w:rsidRPr="0070772A" w:rsidRDefault="00533C15" w:rsidP="006676AE">
      <w:pPr>
        <w:jc w:val="center"/>
        <w:rPr>
          <w:rFonts w:ascii="Palatino Linotype" w:hAnsi="Palatino Linotype"/>
          <w:b/>
          <w:sz w:val="22"/>
        </w:rPr>
      </w:pPr>
      <w:r w:rsidRPr="0070772A">
        <w:rPr>
          <w:rFonts w:ascii="Palatino Linotype" w:hAnsi="Palatino Linotype"/>
          <w:b/>
          <w:sz w:val="22"/>
        </w:rPr>
        <w:t xml:space="preserve"> </w:t>
      </w:r>
      <w:r w:rsidR="006676AE" w:rsidRPr="0070772A">
        <w:rPr>
          <w:rFonts w:ascii="Palatino Linotype" w:hAnsi="Palatino Linotype"/>
          <w:b/>
          <w:sz w:val="22"/>
        </w:rPr>
        <w:t>NÍVEL DE SIMILARIDADE DOS CURRÍCULOS DOS CURSOS DE CIÊNCIAS CONTÁBEIS DE INSTITUIÇÕES CATARINENSES EM RELAÇÃO AO CURRÍCULO MUNDIAL PROPOSTO PELO ISAR/UNCTAD/ONU</w:t>
      </w:r>
    </w:p>
    <w:p w:rsidR="006676AE" w:rsidRPr="0070772A" w:rsidRDefault="006676AE" w:rsidP="006676AE">
      <w:pPr>
        <w:jc w:val="center"/>
        <w:rPr>
          <w:rFonts w:ascii="Palatino Linotype" w:hAnsi="Palatino Linotype"/>
          <w:b/>
          <w:sz w:val="22"/>
        </w:rPr>
      </w:pPr>
    </w:p>
    <w:p w:rsidR="006676AE" w:rsidRPr="0070772A" w:rsidRDefault="006676AE" w:rsidP="006676AE">
      <w:pPr>
        <w:jc w:val="center"/>
        <w:rPr>
          <w:rFonts w:ascii="Palatino Linotype" w:hAnsi="Palatino Linotype"/>
          <w:b/>
          <w:sz w:val="22"/>
          <w:lang w:val="en-US"/>
        </w:rPr>
      </w:pPr>
      <w:r w:rsidRPr="0070772A">
        <w:rPr>
          <w:rFonts w:ascii="Palatino Linotype" w:hAnsi="Palatino Linotype"/>
          <w:b/>
          <w:sz w:val="22"/>
          <w:lang w:val="en-US"/>
        </w:rPr>
        <w:t>SIMILARITY LEVEL OF THE CURRICULA IN ACCOUNTING COURSES OF INSTITUTIONS FROM SANTA CATARINA STATE, BRAZIL, IN RELATION TO THE WORLWIDE CURRICULUM PROPOSED BY ISAR/UNCTAD/UN</w:t>
      </w:r>
    </w:p>
    <w:p w:rsidR="006676AE" w:rsidRPr="0070772A" w:rsidRDefault="006676AE" w:rsidP="006676AE">
      <w:pPr>
        <w:jc w:val="center"/>
        <w:rPr>
          <w:rFonts w:ascii="Palatino Linotype" w:hAnsi="Palatino Linotype"/>
          <w:b/>
          <w:sz w:val="22"/>
          <w:lang w:val="en-US"/>
        </w:rPr>
      </w:pPr>
    </w:p>
    <w:p w:rsidR="00F71A3E" w:rsidRPr="003717F5" w:rsidRDefault="00F71A3E" w:rsidP="006676AE">
      <w:pPr>
        <w:rPr>
          <w:rFonts w:ascii="Palatino Linotype" w:hAnsi="Palatino Linotype"/>
          <w:bCs/>
          <w:sz w:val="22"/>
          <w:lang w:val="en-US"/>
        </w:rPr>
      </w:pPr>
    </w:p>
    <w:p w:rsidR="006676AE" w:rsidRPr="0070772A" w:rsidRDefault="006676AE" w:rsidP="006676AE">
      <w:pPr>
        <w:pStyle w:val="Ttulo1"/>
        <w:numPr>
          <w:ilvl w:val="0"/>
          <w:numId w:val="0"/>
        </w:numPr>
        <w:spacing w:before="0"/>
        <w:ind w:left="432" w:hanging="432"/>
        <w:rPr>
          <w:rFonts w:ascii="Palatino Linotype" w:hAnsi="Palatino Linotype"/>
          <w:sz w:val="22"/>
          <w:szCs w:val="22"/>
        </w:rPr>
      </w:pPr>
      <w:r w:rsidRPr="0070772A">
        <w:rPr>
          <w:rFonts w:ascii="Palatino Linotype" w:hAnsi="Palatino Linotype"/>
          <w:sz w:val="22"/>
          <w:szCs w:val="22"/>
        </w:rPr>
        <w:t>Resumo</w:t>
      </w:r>
    </w:p>
    <w:p w:rsidR="006676AE" w:rsidRPr="0070772A" w:rsidRDefault="006676AE" w:rsidP="006676AE">
      <w:pPr>
        <w:ind w:firstLine="0"/>
        <w:rPr>
          <w:rFonts w:ascii="Palatino Linotype" w:hAnsi="Palatino Linotype"/>
          <w:sz w:val="22"/>
        </w:rPr>
      </w:pPr>
      <w:r w:rsidRPr="0070772A">
        <w:rPr>
          <w:rFonts w:ascii="Palatino Linotype" w:hAnsi="Palatino Linotype"/>
          <w:sz w:val="22"/>
        </w:rPr>
        <w:t>A influência da globalização nas economias locais, sobretudo de países emergentes, é evidente, por exemplo, nas leis nacionais como pré-requisito à desregulamentação, privatização e o incremento de padrões industriais e tecnológicos internacionais para vários setores da economia, entre eles a educação. O presente estudo teve como objetivo comparar a adequação das matrizes curriculares dos cursos de Ciências Contábeis em instituições de Santa Catarina, com a matriz curricular proposta pela ONU/UNCTAD/ISAR. Para tal, adotou-se uma pesquisa descritiva, com análise documental, a partir de dados provenientes das matrizes curriculares das instituições de ensino da Associação Catarinense das Fundações Educacionais (ACAFE). A abordagem utilizada no estudo referente ao problema foi qualitativa, sendo utilizado da análise de conteúdo para se ter os conteúdos presentes nas matrizes. Como resultados, constatou-se que das 16 instituições, 7 delas apresentaram um aumento nas áreas de conhecimentos contábeis, financeiros e assuntos afins. Sendo que as subáreas de políticas empresariais, de estruturas organizacionais básicas e comportamento estão sendo as mais abordadas. No entanto, em relação aos métodos quantitativos e estatísticos, estes são os que mais estão presentes nas matrizes curriculares das instituições. Pode-se concluir que as instituições do estudo estão mais próximas de uma congruência de seu currículo com o proposto pela ONU/UNCTAD/ISAR, e que há um crescimento nas áreas de Conhecimentos Contábeis, Financeiros e assuntos afins e Conhecimento (avançado) em Contabilidade, Finanças e assuntos afins. Em relação a estudos futuros, é oportuno avaliar as ementas dessas disciplinas, para verificar se estas estão alinhadas com as disciplinas sugeridas pelo Currículo Mundial.</w:t>
      </w:r>
    </w:p>
    <w:p w:rsidR="006676AE" w:rsidRPr="0070772A" w:rsidRDefault="006676AE" w:rsidP="00555C7E">
      <w:pPr>
        <w:ind w:firstLine="0"/>
        <w:rPr>
          <w:rFonts w:ascii="Palatino Linotype" w:hAnsi="Palatino Linotype"/>
          <w:b/>
          <w:sz w:val="22"/>
        </w:rPr>
      </w:pPr>
    </w:p>
    <w:p w:rsidR="006676AE" w:rsidRPr="0070772A" w:rsidRDefault="006676AE" w:rsidP="006676AE">
      <w:pPr>
        <w:ind w:firstLine="0"/>
        <w:rPr>
          <w:rFonts w:ascii="Palatino Linotype" w:hAnsi="Palatino Linotype"/>
          <w:sz w:val="22"/>
        </w:rPr>
      </w:pPr>
      <w:r w:rsidRPr="0070772A">
        <w:rPr>
          <w:rFonts w:ascii="Palatino Linotype" w:hAnsi="Palatino Linotype"/>
          <w:b/>
          <w:sz w:val="22"/>
        </w:rPr>
        <w:t xml:space="preserve">Palavras-chave: </w:t>
      </w:r>
      <w:r w:rsidRPr="0070772A">
        <w:rPr>
          <w:rFonts w:ascii="Palatino Linotype" w:hAnsi="Palatino Linotype"/>
          <w:sz w:val="22"/>
        </w:rPr>
        <w:t xml:space="preserve">Currículo Internacional; Ciências Contábeis; Educação Contábil; Harmonização Contábil. </w:t>
      </w:r>
    </w:p>
    <w:p w:rsidR="006676AE" w:rsidRPr="0070772A" w:rsidRDefault="006676AE" w:rsidP="006676AE">
      <w:pPr>
        <w:rPr>
          <w:rFonts w:ascii="Palatino Linotype" w:hAnsi="Palatino Linotype"/>
          <w:bCs/>
          <w:sz w:val="22"/>
        </w:rPr>
      </w:pPr>
    </w:p>
    <w:p w:rsidR="006676AE" w:rsidRPr="0070772A" w:rsidRDefault="006676AE" w:rsidP="006676AE">
      <w:pPr>
        <w:pStyle w:val="Ttulo1"/>
        <w:numPr>
          <w:ilvl w:val="0"/>
          <w:numId w:val="0"/>
        </w:numPr>
        <w:spacing w:before="0"/>
        <w:ind w:left="432" w:hanging="432"/>
        <w:rPr>
          <w:rFonts w:ascii="Palatino Linotype" w:hAnsi="Palatino Linotype"/>
          <w:sz w:val="22"/>
          <w:szCs w:val="22"/>
        </w:rPr>
      </w:pPr>
      <w:r w:rsidRPr="0070772A">
        <w:rPr>
          <w:rFonts w:ascii="Palatino Linotype" w:hAnsi="Palatino Linotype"/>
          <w:sz w:val="22"/>
          <w:szCs w:val="22"/>
          <w:lang w:val="en-US"/>
        </w:rPr>
        <w:t>Abstract</w:t>
      </w:r>
    </w:p>
    <w:p w:rsidR="006676AE" w:rsidRPr="0070772A" w:rsidRDefault="006676AE" w:rsidP="006676AE">
      <w:pPr>
        <w:ind w:firstLine="0"/>
        <w:rPr>
          <w:rFonts w:ascii="Palatino Linotype" w:hAnsi="Palatino Linotype"/>
          <w:sz w:val="22"/>
          <w:lang w:val="en-US"/>
        </w:rPr>
      </w:pPr>
      <w:r w:rsidRPr="0070772A">
        <w:rPr>
          <w:rFonts w:ascii="Palatino Linotype" w:hAnsi="Palatino Linotype"/>
          <w:sz w:val="22"/>
          <w:lang w:val="en-US"/>
        </w:rPr>
        <w:t xml:space="preserve">The influence of globalization on local economies, mainly on emerging countries, is evident, for instance, in the national laws as pre-requisite for deregulation, privatization and increase of international industrial and technological standards for several economic sectors, as education. The present study aimed at comparing the curricula adjustment of accounting courses with the curriculum proposed by UN/UNCTAD/ISAR. To reach such a goal, a descriptive study with documental analysis was implemented. Data was collected from the curricula of educational institutions affiliated to ACAFE, which stands for the Association of Educational Foundations of the Santa Catarina state. Content analysis of qualitative nature was conducted to address the problem. Findings indicate that from the 16 institutions from which the curricula were collected, 7 institutions present an increase in the areas of accounting </w:t>
      </w:r>
      <w:r w:rsidRPr="0070772A">
        <w:rPr>
          <w:rFonts w:ascii="Palatino Linotype" w:hAnsi="Palatino Linotype"/>
          <w:sz w:val="22"/>
          <w:lang w:val="en-US"/>
        </w:rPr>
        <w:lastRenderedPageBreak/>
        <w:t xml:space="preserve">and financial knowledge as well as related topics. The subareas of corporate policies, basic organizational structures and behavior are the ones that receive most attention. Notwithstanding, the quantitative and statistical methods are still the most focused ones in the curricula of such institutions. Such results lead to the conclusion that the institutions are closer to being congruent with the curriculum proposed by UN/UNCTAD/ISAR. There seems to be an increase in the areas of accounting and financial knowledge and related topics as well as in advanced knowledge in accounting, finance and associated topics. As suggestions for further research, it is advisable to evaluate the syllabi of such courses to verify whether they are aligned with the courses suggested by the international curriculum. </w:t>
      </w:r>
    </w:p>
    <w:p w:rsidR="006676AE" w:rsidRPr="0070772A" w:rsidRDefault="006676AE" w:rsidP="006676AE">
      <w:pPr>
        <w:rPr>
          <w:rFonts w:ascii="Palatino Linotype" w:hAnsi="Palatino Linotype"/>
          <w:b/>
          <w:sz w:val="22"/>
          <w:lang w:val="en-US"/>
        </w:rPr>
      </w:pPr>
    </w:p>
    <w:p w:rsidR="006676AE" w:rsidRPr="0070772A" w:rsidRDefault="006676AE" w:rsidP="006676AE">
      <w:pPr>
        <w:ind w:firstLine="0"/>
        <w:rPr>
          <w:rFonts w:ascii="Palatino Linotype" w:hAnsi="Palatino Linotype"/>
          <w:sz w:val="22"/>
          <w:lang w:val="en-US"/>
        </w:rPr>
      </w:pPr>
      <w:r w:rsidRPr="0070772A">
        <w:rPr>
          <w:rFonts w:ascii="Palatino Linotype" w:hAnsi="Palatino Linotype"/>
          <w:b/>
          <w:sz w:val="22"/>
          <w:lang w:val="en-US"/>
        </w:rPr>
        <w:t xml:space="preserve">Keywords: </w:t>
      </w:r>
      <w:r w:rsidRPr="0070772A">
        <w:rPr>
          <w:rFonts w:ascii="Palatino Linotype" w:hAnsi="Palatino Linotype"/>
          <w:sz w:val="22"/>
          <w:lang w:val="en-US"/>
        </w:rPr>
        <w:t>International curriculum; Accounting; Accounting Education; Accounting Standardization.</w:t>
      </w:r>
    </w:p>
    <w:p w:rsidR="00E1639D" w:rsidRPr="0070772A" w:rsidRDefault="00E1639D" w:rsidP="006676AE">
      <w:pPr>
        <w:jc w:val="center"/>
        <w:rPr>
          <w:rFonts w:ascii="Palatino Linotype" w:hAnsi="Palatino Linotype"/>
          <w:sz w:val="22"/>
          <w:lang w:val="en-US"/>
        </w:rPr>
      </w:pPr>
    </w:p>
    <w:p w:rsidR="00EC5BBB" w:rsidRPr="009D3FAB" w:rsidRDefault="00EC5BBB" w:rsidP="00BE160E">
      <w:pPr>
        <w:jc w:val="left"/>
        <w:rPr>
          <w:rFonts w:ascii="Palatino Linotype" w:hAnsi="Palatino Linotype"/>
          <w:sz w:val="22"/>
          <w:lang w:val="en-US"/>
        </w:rPr>
      </w:pPr>
      <w:bookmarkStart w:id="0" w:name="_GoBack"/>
    </w:p>
    <w:p w:rsidR="00A7124A" w:rsidRPr="009D3FAB" w:rsidRDefault="001558A1" w:rsidP="00FE7B0E">
      <w:pPr>
        <w:pStyle w:val="Ttulo1"/>
        <w:spacing w:before="0"/>
        <w:ind w:left="0" w:firstLine="0"/>
        <w:rPr>
          <w:rFonts w:ascii="Palatino Linotype" w:hAnsi="Palatino Linotype"/>
          <w:sz w:val="22"/>
          <w:szCs w:val="22"/>
        </w:rPr>
      </w:pPr>
      <w:r w:rsidRPr="009D3FAB">
        <w:rPr>
          <w:rFonts w:ascii="Palatino Linotype" w:hAnsi="Palatino Linotype"/>
          <w:caps w:val="0"/>
          <w:sz w:val="22"/>
          <w:szCs w:val="22"/>
        </w:rPr>
        <w:t>INTRODUÇÃO</w:t>
      </w:r>
    </w:p>
    <w:p w:rsidR="001B0075" w:rsidRPr="009D3FAB" w:rsidRDefault="00853F0A" w:rsidP="00BE160E">
      <w:pPr>
        <w:rPr>
          <w:rFonts w:ascii="Palatino Linotype" w:hAnsi="Palatino Linotype"/>
          <w:sz w:val="22"/>
        </w:rPr>
      </w:pPr>
      <w:r w:rsidRPr="009D3FAB">
        <w:rPr>
          <w:rFonts w:ascii="Palatino Linotype" w:hAnsi="Palatino Linotype"/>
          <w:sz w:val="22"/>
        </w:rPr>
        <w:t xml:space="preserve">Sob a influência da globalização, </w:t>
      </w:r>
      <w:r w:rsidR="007942F5" w:rsidRPr="009D3FAB">
        <w:rPr>
          <w:rFonts w:ascii="Palatino Linotype" w:hAnsi="Palatino Linotype"/>
          <w:sz w:val="22"/>
        </w:rPr>
        <w:t>n</w:t>
      </w:r>
      <w:r w:rsidR="00EE2CCD" w:rsidRPr="009D3FAB">
        <w:rPr>
          <w:rFonts w:ascii="Palatino Linotype" w:hAnsi="Palatino Linotype"/>
          <w:sz w:val="22"/>
        </w:rPr>
        <w:t>as economias locais, sobretudo de países emergentes, têm</w:t>
      </w:r>
      <w:r w:rsidR="001B0075" w:rsidRPr="009D3FAB">
        <w:rPr>
          <w:rFonts w:ascii="Palatino Linotype" w:hAnsi="Palatino Linotype"/>
          <w:sz w:val="22"/>
        </w:rPr>
        <w:t xml:space="preserve"> </w:t>
      </w:r>
      <w:r w:rsidRPr="009D3FAB">
        <w:rPr>
          <w:rFonts w:ascii="Palatino Linotype" w:hAnsi="Palatino Linotype"/>
          <w:sz w:val="22"/>
        </w:rPr>
        <w:t>passa</w:t>
      </w:r>
      <w:r w:rsidR="001B0075" w:rsidRPr="009D3FAB">
        <w:rPr>
          <w:rFonts w:ascii="Palatino Linotype" w:hAnsi="Palatino Linotype"/>
          <w:sz w:val="22"/>
        </w:rPr>
        <w:t xml:space="preserve">do </w:t>
      </w:r>
      <w:r w:rsidRPr="009D3FAB">
        <w:rPr>
          <w:rFonts w:ascii="Palatino Linotype" w:hAnsi="Palatino Linotype"/>
          <w:sz w:val="22"/>
        </w:rPr>
        <w:t xml:space="preserve">por diversas mudanças, como </w:t>
      </w:r>
      <w:r w:rsidR="001B0075" w:rsidRPr="009D3FAB">
        <w:rPr>
          <w:rFonts w:ascii="Palatino Linotype" w:hAnsi="Palatino Linotype"/>
          <w:sz w:val="22"/>
        </w:rPr>
        <w:t xml:space="preserve">por </w:t>
      </w:r>
      <w:r w:rsidRPr="009D3FAB">
        <w:rPr>
          <w:rFonts w:ascii="Palatino Linotype" w:hAnsi="Palatino Linotype"/>
          <w:sz w:val="22"/>
        </w:rPr>
        <w:t xml:space="preserve">exemplo: as leis nacionais como pré-requisito à desregulamentação, privatização e o incremento de padrões industriais e tecnológicos internacionais para vários setores da economia, entre eles a educação. </w:t>
      </w:r>
    </w:p>
    <w:p w:rsidR="00853F0A" w:rsidRPr="009D3FAB" w:rsidRDefault="001B0075" w:rsidP="00BE160E">
      <w:pPr>
        <w:rPr>
          <w:rFonts w:ascii="Palatino Linotype" w:hAnsi="Palatino Linotype"/>
          <w:sz w:val="22"/>
        </w:rPr>
      </w:pPr>
      <w:r w:rsidRPr="009D3FAB">
        <w:rPr>
          <w:rFonts w:ascii="Palatino Linotype" w:hAnsi="Palatino Linotype"/>
          <w:sz w:val="22"/>
        </w:rPr>
        <w:t xml:space="preserve">Santos </w:t>
      </w:r>
      <w:r w:rsidR="009117C8" w:rsidRPr="009D3FAB">
        <w:rPr>
          <w:rFonts w:ascii="Palatino Linotype" w:hAnsi="Palatino Linotype"/>
          <w:sz w:val="22"/>
        </w:rPr>
        <w:t>et al.</w:t>
      </w:r>
      <w:r w:rsidRPr="009D3FAB">
        <w:rPr>
          <w:rFonts w:ascii="Palatino Linotype" w:hAnsi="Palatino Linotype"/>
          <w:sz w:val="22"/>
        </w:rPr>
        <w:t xml:space="preserve"> (2013) afirmam que a </w:t>
      </w:r>
      <w:r w:rsidR="00EE2CCD" w:rsidRPr="009D3FAB">
        <w:rPr>
          <w:rFonts w:ascii="Palatino Linotype" w:hAnsi="Palatino Linotype"/>
          <w:sz w:val="22"/>
        </w:rPr>
        <w:t>política econômica e social local</w:t>
      </w:r>
      <w:r w:rsidRPr="009D3FAB">
        <w:rPr>
          <w:rFonts w:ascii="Palatino Linotype" w:hAnsi="Palatino Linotype"/>
          <w:sz w:val="22"/>
        </w:rPr>
        <w:t>, peculiares de cada país, podem resultar na diversidade de interpretações dos fenômenos co</w:t>
      </w:r>
      <w:r w:rsidR="00F71A3E" w:rsidRPr="009D3FAB">
        <w:rPr>
          <w:rFonts w:ascii="Palatino Linotype" w:hAnsi="Palatino Linotype"/>
          <w:sz w:val="22"/>
        </w:rPr>
        <w:t>ntábeis de um país para o outro, deste modo, verifica-se</w:t>
      </w:r>
      <w:r w:rsidRPr="009D3FAB">
        <w:rPr>
          <w:rFonts w:ascii="Palatino Linotype" w:hAnsi="Palatino Linotype"/>
          <w:sz w:val="22"/>
        </w:rPr>
        <w:t xml:space="preserve"> que a contabilidade é diferente de um país para o outro. Nesse sentido, </w:t>
      </w:r>
      <w:r w:rsidR="009A71F6" w:rsidRPr="009D3FAB">
        <w:rPr>
          <w:rFonts w:ascii="Palatino Linotype" w:hAnsi="Palatino Linotype"/>
          <w:sz w:val="22"/>
        </w:rPr>
        <w:t>Niyama (2005) comenta que os sistemas contábeis dos países são influenciados por um conjunto de regras próprias, como leis, filosof</w:t>
      </w:r>
      <w:r w:rsidR="00F71A3E" w:rsidRPr="009D3FAB">
        <w:rPr>
          <w:rFonts w:ascii="Palatino Linotype" w:hAnsi="Palatino Linotype"/>
          <w:sz w:val="22"/>
        </w:rPr>
        <w:t>ias, procedimentos e objetivos. Que de certa forma provem da educação aplicada.</w:t>
      </w:r>
    </w:p>
    <w:p w:rsidR="00B06399" w:rsidRPr="009D3FAB" w:rsidRDefault="009A71F6" w:rsidP="00BE160E">
      <w:pPr>
        <w:rPr>
          <w:rFonts w:ascii="Palatino Linotype" w:hAnsi="Palatino Linotype"/>
          <w:sz w:val="22"/>
        </w:rPr>
      </w:pPr>
      <w:r w:rsidRPr="009D3FAB">
        <w:rPr>
          <w:rFonts w:ascii="Palatino Linotype" w:hAnsi="Palatino Linotype"/>
          <w:sz w:val="22"/>
        </w:rPr>
        <w:t xml:space="preserve">Riccio e Sakata (2004) apresentam que a contabilidade permeia as sociedades nos diversos países. O seu caráter regulatório e padronizador tem sido destacado ainda mais pela globalização, como elemento fundamental para o controle e avaliação do desempenho das instituições públicas e privadas. </w:t>
      </w:r>
      <w:r w:rsidR="00C860B5" w:rsidRPr="009D3FAB">
        <w:rPr>
          <w:rFonts w:ascii="Palatino Linotype" w:hAnsi="Palatino Linotype"/>
          <w:sz w:val="22"/>
        </w:rPr>
        <w:t>Nesse contexto surgiram as Normas Internacionais de Contabilidade, com a intenção de harmonizar, convergir os padrões contábeis em uma única linguagem de negócio universal (</w:t>
      </w:r>
      <w:r w:rsidR="000F28D5" w:rsidRPr="009D3FAB">
        <w:rPr>
          <w:rFonts w:ascii="Palatino Linotype" w:hAnsi="Palatino Linotype"/>
          <w:sz w:val="22"/>
        </w:rPr>
        <w:t xml:space="preserve">ERFURTH; DOMINGUES, 2013). </w:t>
      </w:r>
    </w:p>
    <w:p w:rsidR="009A71F6" w:rsidRPr="009D3FAB" w:rsidRDefault="00A0063E" w:rsidP="00BE160E">
      <w:pPr>
        <w:rPr>
          <w:rFonts w:ascii="Palatino Linotype" w:hAnsi="Palatino Linotype"/>
          <w:sz w:val="22"/>
        </w:rPr>
      </w:pPr>
      <w:r w:rsidRPr="009D3FAB">
        <w:rPr>
          <w:rFonts w:ascii="Palatino Linotype" w:hAnsi="Palatino Linotype"/>
          <w:sz w:val="22"/>
        </w:rPr>
        <w:t>No campo educacional, os países</w:t>
      </w:r>
      <w:r w:rsidR="004F3049" w:rsidRPr="009D3FAB">
        <w:rPr>
          <w:rFonts w:ascii="Palatino Linotype" w:hAnsi="Palatino Linotype"/>
          <w:sz w:val="22"/>
        </w:rPr>
        <w:t>,</w:t>
      </w:r>
      <w:r w:rsidRPr="009D3FAB">
        <w:rPr>
          <w:rFonts w:ascii="Palatino Linotype" w:hAnsi="Palatino Linotype"/>
          <w:sz w:val="22"/>
        </w:rPr>
        <w:t xml:space="preserve"> norteados por suas políticas econômicas e sociais, aplicam diferentes metodologias e abordagens no ensino da contabilidade. Desta forma, as instituições de educação formam profissionais com habilidades e competências próximas àquelas exigidas pelo mercado local. </w:t>
      </w:r>
      <w:r w:rsidR="000F28D5" w:rsidRPr="009D3FAB">
        <w:rPr>
          <w:rFonts w:ascii="Palatino Linotype" w:hAnsi="Palatino Linotype"/>
          <w:sz w:val="22"/>
        </w:rPr>
        <w:t xml:space="preserve">Santos </w:t>
      </w:r>
      <w:r w:rsidR="009117C8" w:rsidRPr="009D3FAB">
        <w:rPr>
          <w:rFonts w:ascii="Palatino Linotype" w:hAnsi="Palatino Linotype"/>
          <w:sz w:val="22"/>
        </w:rPr>
        <w:t>et al.</w:t>
      </w:r>
      <w:r w:rsidR="000F28D5" w:rsidRPr="009D3FAB">
        <w:rPr>
          <w:rFonts w:ascii="Palatino Linotype" w:hAnsi="Palatino Linotype"/>
          <w:sz w:val="22"/>
        </w:rPr>
        <w:t xml:space="preserve"> </w:t>
      </w:r>
      <w:r w:rsidRPr="009D3FAB">
        <w:rPr>
          <w:rFonts w:ascii="Palatino Linotype" w:hAnsi="Palatino Linotype"/>
          <w:sz w:val="22"/>
        </w:rPr>
        <w:t>(2013) entendem que a diversidade curricular no ensino da contabilidade pode não contribuir para a consolidação do ensino contábil.</w:t>
      </w:r>
    </w:p>
    <w:p w:rsidR="004F3049" w:rsidRPr="009D3FAB" w:rsidRDefault="004F3049" w:rsidP="00BE160E">
      <w:pPr>
        <w:rPr>
          <w:rFonts w:ascii="Palatino Linotype" w:hAnsi="Palatino Linotype"/>
          <w:sz w:val="22"/>
        </w:rPr>
      </w:pPr>
      <w:r w:rsidRPr="009D3FAB">
        <w:rPr>
          <w:rFonts w:ascii="Palatino Linotype" w:hAnsi="Palatino Linotype"/>
          <w:sz w:val="22"/>
        </w:rPr>
        <w:t xml:space="preserve">Segundo Segantini </w:t>
      </w:r>
      <w:r w:rsidR="009117C8" w:rsidRPr="009D3FAB">
        <w:rPr>
          <w:rFonts w:ascii="Palatino Linotype" w:hAnsi="Palatino Linotype"/>
          <w:sz w:val="22"/>
        </w:rPr>
        <w:t>et al.</w:t>
      </w:r>
      <w:r w:rsidRPr="009D3FAB">
        <w:rPr>
          <w:rFonts w:ascii="Palatino Linotype" w:hAnsi="Palatino Linotype"/>
          <w:sz w:val="22"/>
        </w:rPr>
        <w:t xml:space="preserve"> (2013), devido ao processo de harmonização e convergência internacional às Normas Internacionais de Contabilidade (NIC) editadas pelo </w:t>
      </w:r>
      <w:r w:rsidRPr="009D3FAB">
        <w:rPr>
          <w:rFonts w:ascii="Palatino Linotype" w:hAnsi="Palatino Linotype"/>
          <w:iCs/>
          <w:sz w:val="22"/>
        </w:rPr>
        <w:t xml:space="preserve">International Accounting Standards Board </w:t>
      </w:r>
      <w:r w:rsidRPr="009D3FAB">
        <w:rPr>
          <w:rFonts w:ascii="Palatino Linotype" w:hAnsi="Palatino Linotype"/>
          <w:sz w:val="22"/>
        </w:rPr>
        <w:t>(IASB), tem-se discutido a possibilidade de um ensino uniforme para os cursos de Ciências Contábeis, o que passaria, obrigatoriamente, pela discussão de um currículo mínimo para todos os países participantes do processo de convergência.</w:t>
      </w:r>
    </w:p>
    <w:p w:rsidR="004F3049" w:rsidRPr="009D3FAB" w:rsidRDefault="00A0063E" w:rsidP="00BE160E">
      <w:pPr>
        <w:rPr>
          <w:rFonts w:ascii="Palatino Linotype" w:hAnsi="Palatino Linotype"/>
          <w:sz w:val="22"/>
        </w:rPr>
      </w:pPr>
      <w:r w:rsidRPr="009D3FAB">
        <w:rPr>
          <w:rFonts w:ascii="Palatino Linotype" w:hAnsi="Palatino Linotype"/>
          <w:sz w:val="22"/>
        </w:rPr>
        <w:t xml:space="preserve">As instituições educacionais estrangeiras e brasileiras iniciaram um processo de adaptação às pressões da globalização por meio da internacionalização dos currículos e de atividades. </w:t>
      </w:r>
      <w:r w:rsidR="00D91572" w:rsidRPr="009D3FAB">
        <w:rPr>
          <w:rFonts w:ascii="Palatino Linotype" w:hAnsi="Palatino Linotype"/>
          <w:sz w:val="22"/>
        </w:rPr>
        <w:t xml:space="preserve">Este processo foi incentivado para minimizar a disparidade do ensino da contabilidade no mundo. </w:t>
      </w:r>
      <w:r w:rsidR="004F3049" w:rsidRPr="009D3FAB">
        <w:rPr>
          <w:rFonts w:ascii="Palatino Linotype" w:hAnsi="Palatino Linotype"/>
          <w:sz w:val="22"/>
        </w:rPr>
        <w:t>A</w:t>
      </w:r>
      <w:r w:rsidR="00C860B5" w:rsidRPr="009D3FAB">
        <w:rPr>
          <w:rFonts w:ascii="Palatino Linotype" w:hAnsi="Palatino Linotype"/>
          <w:sz w:val="22"/>
        </w:rPr>
        <w:t xml:space="preserve"> Organização das Nações</w:t>
      </w:r>
      <w:r w:rsidR="00C860B5" w:rsidRPr="0070772A">
        <w:rPr>
          <w:rFonts w:ascii="Palatino Linotype" w:hAnsi="Palatino Linotype"/>
          <w:sz w:val="22"/>
        </w:rPr>
        <w:t xml:space="preserve"> </w:t>
      </w:r>
      <w:bookmarkEnd w:id="0"/>
      <w:r w:rsidR="00C860B5" w:rsidRPr="0070772A">
        <w:rPr>
          <w:rFonts w:ascii="Palatino Linotype" w:hAnsi="Palatino Linotype"/>
          <w:sz w:val="22"/>
        </w:rPr>
        <w:t xml:space="preserve">Unidas (ONU), por meio do </w:t>
      </w:r>
      <w:r w:rsidR="00C860B5" w:rsidRPr="0070772A">
        <w:rPr>
          <w:rFonts w:ascii="Palatino Linotype" w:hAnsi="Palatino Linotype"/>
          <w:i/>
          <w:sz w:val="22"/>
        </w:rPr>
        <w:t>Intergovernmental Working Group of Experts on International Standards of Accounting and Reporting</w:t>
      </w:r>
      <w:r w:rsidR="00C860B5" w:rsidRPr="0070772A">
        <w:rPr>
          <w:rFonts w:ascii="Palatino Linotype" w:hAnsi="Palatino Linotype"/>
          <w:sz w:val="22"/>
        </w:rPr>
        <w:t xml:space="preserve"> </w:t>
      </w:r>
      <w:r w:rsidR="00C860B5" w:rsidRPr="0070772A">
        <w:rPr>
          <w:rFonts w:ascii="Palatino Linotype" w:hAnsi="Palatino Linotype"/>
          <w:sz w:val="22"/>
        </w:rPr>
        <w:lastRenderedPageBreak/>
        <w:t xml:space="preserve">(ISAR), vinculado à </w:t>
      </w:r>
      <w:r w:rsidR="00C860B5" w:rsidRPr="0070772A">
        <w:rPr>
          <w:rFonts w:ascii="Palatino Linotype" w:hAnsi="Palatino Linotype"/>
          <w:i/>
          <w:sz w:val="22"/>
        </w:rPr>
        <w:t xml:space="preserve">United Nations Conference on Trade and Development </w:t>
      </w:r>
      <w:r w:rsidR="00C860B5" w:rsidRPr="0070772A">
        <w:rPr>
          <w:rFonts w:ascii="Palatino Linotype" w:hAnsi="Palatino Linotype"/>
          <w:sz w:val="22"/>
        </w:rPr>
        <w:t xml:space="preserve">(UNCTAD), </w:t>
      </w:r>
      <w:r w:rsidRPr="009D3FAB">
        <w:rPr>
          <w:rFonts w:ascii="Palatino Linotype" w:hAnsi="Palatino Linotype"/>
          <w:sz w:val="22"/>
        </w:rPr>
        <w:t xml:space="preserve">desenvolveu uma sugestão de currículo para que os cursos superiores de Ciências Contábeis possam basear a sua </w:t>
      </w:r>
      <w:r w:rsidR="00C04D50" w:rsidRPr="009D3FAB">
        <w:rPr>
          <w:rFonts w:ascii="Palatino Linotype" w:hAnsi="Palatino Linotype"/>
          <w:sz w:val="22"/>
        </w:rPr>
        <w:t>matriz curricular</w:t>
      </w:r>
      <w:r w:rsidRPr="009D3FAB">
        <w:rPr>
          <w:rFonts w:ascii="Palatino Linotype" w:hAnsi="Palatino Linotype"/>
          <w:sz w:val="22"/>
        </w:rPr>
        <w:t xml:space="preserve">, </w:t>
      </w:r>
      <w:r w:rsidR="00371C3A" w:rsidRPr="009D3FAB">
        <w:rPr>
          <w:rFonts w:ascii="Palatino Linotype" w:hAnsi="Palatino Linotype"/>
          <w:sz w:val="22"/>
        </w:rPr>
        <w:t xml:space="preserve"> </w:t>
      </w:r>
      <w:r w:rsidRPr="009D3FAB">
        <w:rPr>
          <w:rFonts w:ascii="Palatino Linotype" w:hAnsi="Palatino Linotype"/>
          <w:sz w:val="22"/>
        </w:rPr>
        <w:t xml:space="preserve">com o intuito de que os bacharéis possuam formação com os conhecimentos </w:t>
      </w:r>
      <w:r w:rsidR="004F3049" w:rsidRPr="009D3FAB">
        <w:rPr>
          <w:rFonts w:ascii="Palatino Linotype" w:hAnsi="Palatino Linotype"/>
          <w:sz w:val="22"/>
        </w:rPr>
        <w:t xml:space="preserve">semelhantes, </w:t>
      </w:r>
      <w:r w:rsidRPr="009D3FAB">
        <w:rPr>
          <w:rFonts w:ascii="Palatino Linotype" w:hAnsi="Palatino Linotype"/>
          <w:sz w:val="22"/>
        </w:rPr>
        <w:t>necessários para a profissão, independente</w:t>
      </w:r>
      <w:r w:rsidR="004F3049" w:rsidRPr="009D3FAB">
        <w:rPr>
          <w:rFonts w:ascii="Palatino Linotype" w:hAnsi="Palatino Linotype"/>
          <w:sz w:val="22"/>
        </w:rPr>
        <w:t xml:space="preserve">mente </w:t>
      </w:r>
      <w:r w:rsidRPr="009D3FAB">
        <w:rPr>
          <w:rFonts w:ascii="Palatino Linotype" w:hAnsi="Palatino Linotype"/>
          <w:sz w:val="22"/>
        </w:rPr>
        <w:t xml:space="preserve">do país de origem (SEGANTINI </w:t>
      </w:r>
      <w:r w:rsidR="009117C8" w:rsidRPr="009D3FAB">
        <w:rPr>
          <w:rFonts w:ascii="Palatino Linotype" w:hAnsi="Palatino Linotype"/>
          <w:sz w:val="22"/>
        </w:rPr>
        <w:t>et al.</w:t>
      </w:r>
      <w:r w:rsidRPr="009D3FAB">
        <w:rPr>
          <w:rFonts w:ascii="Palatino Linotype" w:hAnsi="Palatino Linotype"/>
          <w:sz w:val="22"/>
        </w:rPr>
        <w:t>, 2013).</w:t>
      </w:r>
      <w:r w:rsidR="000F28D5" w:rsidRPr="009D3FAB">
        <w:rPr>
          <w:rFonts w:ascii="Palatino Linotype" w:hAnsi="Palatino Linotype"/>
          <w:sz w:val="22"/>
        </w:rPr>
        <w:t xml:space="preserve"> </w:t>
      </w:r>
    </w:p>
    <w:p w:rsidR="00A0063E" w:rsidRPr="009D3FAB" w:rsidRDefault="000F28D5" w:rsidP="00BE160E">
      <w:pPr>
        <w:rPr>
          <w:rFonts w:ascii="Palatino Linotype" w:hAnsi="Palatino Linotype"/>
          <w:sz w:val="22"/>
        </w:rPr>
      </w:pPr>
      <w:r w:rsidRPr="009D3FAB">
        <w:rPr>
          <w:rFonts w:ascii="Palatino Linotype" w:hAnsi="Palatino Linotype"/>
          <w:sz w:val="22"/>
        </w:rPr>
        <w:t xml:space="preserve">Erfurth e Domingues (2008) afirmam que quanto maior for a similaridade entre as </w:t>
      </w:r>
      <w:r w:rsidR="00835BED" w:rsidRPr="009D3FAB">
        <w:rPr>
          <w:rFonts w:ascii="Palatino Linotype" w:hAnsi="Palatino Linotype"/>
          <w:sz w:val="22"/>
        </w:rPr>
        <w:t>matrizes curriculares</w:t>
      </w:r>
      <w:r w:rsidRPr="009D3FAB">
        <w:rPr>
          <w:rFonts w:ascii="Palatino Linotype" w:hAnsi="Palatino Linotype"/>
          <w:sz w:val="22"/>
        </w:rPr>
        <w:t xml:space="preserve"> adotadas pelo país e as </w:t>
      </w:r>
      <w:r w:rsidR="00835BED" w:rsidRPr="009D3FAB">
        <w:rPr>
          <w:rFonts w:ascii="Palatino Linotype" w:hAnsi="Palatino Linotype"/>
          <w:sz w:val="22"/>
        </w:rPr>
        <w:t>matrizes curriculares</w:t>
      </w:r>
      <w:r w:rsidRPr="009D3FAB">
        <w:rPr>
          <w:rFonts w:ascii="Palatino Linotype" w:hAnsi="Palatino Linotype"/>
          <w:sz w:val="22"/>
        </w:rPr>
        <w:t xml:space="preserve"> internacionais, maior será a evidência de harmonização na educação.</w:t>
      </w:r>
      <w:r w:rsidR="00DF65A4" w:rsidRPr="009D3FAB">
        <w:rPr>
          <w:rFonts w:ascii="Palatino Linotype" w:hAnsi="Palatino Linotype"/>
          <w:sz w:val="22"/>
        </w:rPr>
        <w:t xml:space="preserve"> A finalidade </w:t>
      </w:r>
      <w:r w:rsidR="004F3049" w:rsidRPr="009D3FAB">
        <w:rPr>
          <w:rFonts w:ascii="Palatino Linotype" w:hAnsi="Palatino Linotype"/>
          <w:sz w:val="22"/>
        </w:rPr>
        <w:t xml:space="preserve">do desenvolvimento dessa </w:t>
      </w:r>
      <w:r w:rsidR="00C04D50" w:rsidRPr="009D3FAB">
        <w:rPr>
          <w:rFonts w:ascii="Palatino Linotype" w:hAnsi="Palatino Linotype"/>
          <w:sz w:val="22"/>
        </w:rPr>
        <w:t>matriz curricular</w:t>
      </w:r>
      <w:r w:rsidR="004F3049" w:rsidRPr="009D3FAB">
        <w:rPr>
          <w:rFonts w:ascii="Palatino Linotype" w:hAnsi="Palatino Linotype"/>
          <w:sz w:val="22"/>
        </w:rPr>
        <w:t xml:space="preserve"> internacional é </w:t>
      </w:r>
      <w:r w:rsidR="00DF65A4" w:rsidRPr="009D3FAB">
        <w:rPr>
          <w:rFonts w:ascii="Palatino Linotype" w:hAnsi="Palatino Linotype"/>
          <w:sz w:val="22"/>
        </w:rPr>
        <w:t xml:space="preserve">facilitar a adaptação das </w:t>
      </w:r>
      <w:r w:rsidR="004F3049" w:rsidRPr="009D3FAB">
        <w:rPr>
          <w:rFonts w:ascii="Palatino Linotype" w:hAnsi="Palatino Linotype"/>
          <w:sz w:val="22"/>
        </w:rPr>
        <w:t>Instituições de Ensino Superior (</w:t>
      </w:r>
      <w:r w:rsidR="00DF65A4" w:rsidRPr="009D3FAB">
        <w:rPr>
          <w:rFonts w:ascii="Palatino Linotype" w:hAnsi="Palatino Linotype"/>
          <w:sz w:val="22"/>
        </w:rPr>
        <w:t>IES</w:t>
      </w:r>
      <w:r w:rsidR="004F3049" w:rsidRPr="009D3FAB">
        <w:rPr>
          <w:rFonts w:ascii="Palatino Linotype" w:hAnsi="Palatino Linotype"/>
          <w:sz w:val="22"/>
        </w:rPr>
        <w:t>)</w:t>
      </w:r>
      <w:r w:rsidR="00DF65A4" w:rsidRPr="009D3FAB">
        <w:rPr>
          <w:rFonts w:ascii="Palatino Linotype" w:hAnsi="Palatino Linotype"/>
          <w:sz w:val="22"/>
        </w:rPr>
        <w:t xml:space="preserve"> em Ciências Contábeis dos países em desenvolvimento às Normas Internacionais de Contabilidade (ERFURTH; DOMINGUES, 2013).</w:t>
      </w:r>
    </w:p>
    <w:p w:rsidR="004F3049" w:rsidRPr="009D3FAB" w:rsidRDefault="00DF65A4" w:rsidP="00BE160E">
      <w:pPr>
        <w:rPr>
          <w:rFonts w:ascii="Palatino Linotype" w:hAnsi="Palatino Linotype"/>
          <w:sz w:val="22"/>
        </w:rPr>
      </w:pPr>
      <w:r w:rsidRPr="009D3FAB">
        <w:rPr>
          <w:rFonts w:ascii="Palatino Linotype" w:hAnsi="Palatino Linotype"/>
          <w:sz w:val="22"/>
        </w:rPr>
        <w:t xml:space="preserve">No Brasil, as IES têm autonomia para elaborar seus currículos, devendo, porém, obedecer à regulamentação do Ministério da Educação (MEC). Os cursos de Ciências Contábeis devem estar de acordo com esta legislação, </w:t>
      </w:r>
      <w:r w:rsidR="004F3049" w:rsidRPr="009D3FAB">
        <w:rPr>
          <w:rFonts w:ascii="Palatino Linotype" w:hAnsi="Palatino Linotype"/>
          <w:sz w:val="22"/>
        </w:rPr>
        <w:t xml:space="preserve">o que </w:t>
      </w:r>
      <w:r w:rsidRPr="009D3FAB">
        <w:rPr>
          <w:rFonts w:ascii="Palatino Linotype" w:hAnsi="Palatino Linotype"/>
          <w:sz w:val="22"/>
        </w:rPr>
        <w:t>ocorre por meio da Resolução nº 10/2004 do Conselho Nacional de Educação (CNE) e Câmara de Educação Superior (CES)</w:t>
      </w:r>
      <w:r w:rsidR="004F3049" w:rsidRPr="009D3FAB">
        <w:rPr>
          <w:rFonts w:ascii="Palatino Linotype" w:hAnsi="Palatino Linotype"/>
          <w:sz w:val="22"/>
        </w:rPr>
        <w:t xml:space="preserve">. Esta norma </w:t>
      </w:r>
      <w:r w:rsidRPr="009D3FAB">
        <w:rPr>
          <w:rFonts w:ascii="Palatino Linotype" w:hAnsi="Palatino Linotype"/>
          <w:sz w:val="22"/>
        </w:rPr>
        <w:t xml:space="preserve">determina que a organização do curso de graduação em Ciências Contábeis deve ser promovida por meio de um projeto pedagógico que venha a contemplar uma série de requisitos básicos para a formação do contador (BRASIL, 2004). </w:t>
      </w:r>
    </w:p>
    <w:p w:rsidR="00AC3568" w:rsidRPr="009D3FAB" w:rsidRDefault="005E5627" w:rsidP="00BE160E">
      <w:pPr>
        <w:rPr>
          <w:rFonts w:ascii="Palatino Linotype" w:hAnsi="Palatino Linotype"/>
          <w:sz w:val="22"/>
        </w:rPr>
      </w:pPr>
      <w:r w:rsidRPr="009D3FAB">
        <w:rPr>
          <w:rFonts w:ascii="Palatino Linotype" w:hAnsi="Palatino Linotype"/>
          <w:sz w:val="22"/>
        </w:rPr>
        <w:t>A educação formal dos profissionais de contabilidade, no mundo, deve convergir para os mesmos conjuntos de conhecimentos, harmonizados e globalizados, com exceção ao conjunto de conhecimentos específicos de cada país, como história e cultura (RICCIO</w:t>
      </w:r>
      <w:r w:rsidR="004F3049" w:rsidRPr="009D3FAB">
        <w:rPr>
          <w:rFonts w:ascii="Palatino Linotype" w:hAnsi="Palatino Linotype"/>
          <w:sz w:val="22"/>
        </w:rPr>
        <w:t>;</w:t>
      </w:r>
      <w:r w:rsidRPr="009D3FAB">
        <w:rPr>
          <w:rFonts w:ascii="Palatino Linotype" w:hAnsi="Palatino Linotype"/>
          <w:sz w:val="22"/>
        </w:rPr>
        <w:t xml:space="preserve"> SAKATA, 2004). </w:t>
      </w:r>
      <w:r w:rsidR="00AC3568" w:rsidRPr="009D3FAB">
        <w:rPr>
          <w:rFonts w:ascii="Palatino Linotype" w:hAnsi="Palatino Linotype"/>
          <w:sz w:val="22"/>
        </w:rPr>
        <w:t>A questão é que o ensino de Ciências Contábeis se limita com frequência às normas e a seus próprios procedimentos de adoção de normas, constituindo um importante obstáculo para a integração da economia global. O objetivo do currículo mundial proposto pela ONU/UNCTAD/ISAR não é estabelecer uma qualificação mundial, no entanto</w:t>
      </w:r>
      <w:r w:rsidR="004F3049" w:rsidRPr="009D3FAB">
        <w:rPr>
          <w:rFonts w:ascii="Palatino Linotype" w:hAnsi="Palatino Linotype"/>
          <w:sz w:val="22"/>
        </w:rPr>
        <w:t>,</w:t>
      </w:r>
      <w:r w:rsidR="00AC3568" w:rsidRPr="009D3FAB">
        <w:rPr>
          <w:rFonts w:ascii="Palatino Linotype" w:hAnsi="Palatino Linotype"/>
          <w:sz w:val="22"/>
        </w:rPr>
        <w:t xml:space="preserve"> servir de modelo</w:t>
      </w:r>
      <w:r w:rsidR="00B53BD5" w:rsidRPr="009D3FAB">
        <w:rPr>
          <w:rFonts w:ascii="Palatino Linotype" w:hAnsi="Palatino Linotype"/>
          <w:sz w:val="22"/>
        </w:rPr>
        <w:t>, guia</w:t>
      </w:r>
      <w:r w:rsidR="00AC3568" w:rsidRPr="009D3FAB">
        <w:rPr>
          <w:rFonts w:ascii="Palatino Linotype" w:hAnsi="Palatino Linotype"/>
          <w:sz w:val="22"/>
        </w:rPr>
        <w:t xml:space="preserve">, qualificação mínima, regulamento voluntário, referência e base para harmonização, com o intuito de fortalecer a profissão contábil para oferecer seus serviços além das fronteiras nacionais (ERFURTH; DOMINGUES, 2013). </w:t>
      </w:r>
    </w:p>
    <w:p w:rsidR="000F28D5" w:rsidRPr="009D3FAB" w:rsidRDefault="005E5627" w:rsidP="00BE160E">
      <w:pPr>
        <w:rPr>
          <w:rFonts w:ascii="Palatino Linotype" w:hAnsi="Palatino Linotype"/>
          <w:sz w:val="22"/>
        </w:rPr>
      </w:pPr>
      <w:r w:rsidRPr="009D3FAB">
        <w:rPr>
          <w:rFonts w:ascii="Palatino Linotype" w:hAnsi="Palatino Linotype"/>
          <w:sz w:val="22"/>
        </w:rPr>
        <w:t xml:space="preserve">Assim, </w:t>
      </w:r>
      <w:r w:rsidR="00C33BE6" w:rsidRPr="009D3FAB">
        <w:rPr>
          <w:rFonts w:ascii="Palatino Linotype" w:hAnsi="Palatino Linotype"/>
          <w:sz w:val="22"/>
        </w:rPr>
        <w:t>diversos estudos têm</w:t>
      </w:r>
      <w:r w:rsidRPr="009D3FAB">
        <w:rPr>
          <w:rFonts w:ascii="Palatino Linotype" w:hAnsi="Palatino Linotype"/>
          <w:sz w:val="22"/>
        </w:rPr>
        <w:t xml:space="preserve"> se dedicado a estudar a similaridade das matrizes curriculares dos cursos de Ciências Contábeis, como</w:t>
      </w:r>
      <w:r w:rsidR="009C102F" w:rsidRPr="009D3FAB">
        <w:rPr>
          <w:rFonts w:ascii="Palatino Linotype" w:hAnsi="Palatino Linotype"/>
          <w:sz w:val="22"/>
        </w:rPr>
        <w:t xml:space="preserve"> Riccio e Sakata (2004),</w:t>
      </w:r>
      <w:r w:rsidRPr="009D3FAB">
        <w:rPr>
          <w:rFonts w:ascii="Palatino Linotype" w:hAnsi="Palatino Linotype"/>
          <w:sz w:val="22"/>
        </w:rPr>
        <w:t xml:space="preserve"> </w:t>
      </w:r>
      <w:r w:rsidR="009C102F" w:rsidRPr="009D3FAB">
        <w:rPr>
          <w:rFonts w:ascii="Palatino Linotype" w:hAnsi="Palatino Linotype"/>
          <w:sz w:val="22"/>
        </w:rPr>
        <w:t xml:space="preserve">Erfuth e Domingues (2008, 2013), </w:t>
      </w:r>
      <w:proofErr w:type="spellStart"/>
      <w:r w:rsidR="005C0506" w:rsidRPr="009D3FAB">
        <w:rPr>
          <w:rFonts w:ascii="Palatino Linotype" w:hAnsi="Palatino Linotype"/>
          <w:sz w:val="22"/>
        </w:rPr>
        <w:t>Czesnat</w:t>
      </w:r>
      <w:proofErr w:type="spellEnd"/>
      <w:r w:rsidR="005C0506" w:rsidRPr="009D3FAB">
        <w:rPr>
          <w:rFonts w:ascii="Palatino Linotype" w:hAnsi="Palatino Linotype"/>
          <w:sz w:val="22"/>
        </w:rPr>
        <w:t>, Cunha e Domingues (2009</w:t>
      </w:r>
      <w:r w:rsidR="00A75884" w:rsidRPr="009D3FAB">
        <w:rPr>
          <w:rFonts w:ascii="Palatino Linotype" w:hAnsi="Palatino Linotype"/>
          <w:sz w:val="22"/>
        </w:rPr>
        <w:t xml:space="preserve">), </w:t>
      </w:r>
      <w:r w:rsidRPr="009D3FAB">
        <w:rPr>
          <w:rFonts w:ascii="Palatino Linotype" w:hAnsi="Palatino Linotype"/>
          <w:sz w:val="22"/>
        </w:rPr>
        <w:t xml:space="preserve">Santos </w:t>
      </w:r>
      <w:r w:rsidR="009117C8" w:rsidRPr="009D3FAB">
        <w:rPr>
          <w:rFonts w:ascii="Palatino Linotype" w:hAnsi="Palatino Linotype"/>
          <w:sz w:val="22"/>
        </w:rPr>
        <w:t>et al.</w:t>
      </w:r>
      <w:r w:rsidRPr="009D3FAB">
        <w:rPr>
          <w:rFonts w:ascii="Palatino Linotype" w:hAnsi="Palatino Linotype"/>
          <w:sz w:val="22"/>
        </w:rPr>
        <w:t xml:space="preserve"> (2013), Cavalcanti (2013)</w:t>
      </w:r>
      <w:r w:rsidR="004F3049" w:rsidRPr="009D3FAB">
        <w:rPr>
          <w:rFonts w:ascii="Palatino Linotype" w:hAnsi="Palatino Linotype"/>
          <w:sz w:val="22"/>
        </w:rPr>
        <w:t xml:space="preserve"> e</w:t>
      </w:r>
      <w:r w:rsidRPr="009D3FAB">
        <w:rPr>
          <w:rFonts w:ascii="Palatino Linotype" w:hAnsi="Palatino Linotype"/>
          <w:sz w:val="22"/>
        </w:rPr>
        <w:t xml:space="preserve"> Segantini </w:t>
      </w:r>
      <w:r w:rsidR="009117C8" w:rsidRPr="009D3FAB">
        <w:rPr>
          <w:rFonts w:ascii="Palatino Linotype" w:hAnsi="Palatino Linotype"/>
          <w:sz w:val="22"/>
        </w:rPr>
        <w:t>et al.</w:t>
      </w:r>
      <w:r w:rsidRPr="009D3FAB">
        <w:rPr>
          <w:rFonts w:ascii="Palatino Linotype" w:hAnsi="Palatino Linotype"/>
          <w:sz w:val="22"/>
        </w:rPr>
        <w:t xml:space="preserve"> (2013)</w:t>
      </w:r>
      <w:r w:rsidR="004F3049" w:rsidRPr="009D3FAB">
        <w:rPr>
          <w:rFonts w:ascii="Palatino Linotype" w:hAnsi="Palatino Linotype"/>
          <w:sz w:val="22"/>
        </w:rPr>
        <w:t>. N</w:t>
      </w:r>
      <w:r w:rsidRPr="009D3FAB">
        <w:rPr>
          <w:rFonts w:ascii="Palatino Linotype" w:hAnsi="Palatino Linotype"/>
          <w:sz w:val="22"/>
        </w:rPr>
        <w:t xml:space="preserve">o entanto, percebe-se uma lacuna em se tratando dos cursos de Ciências Contábeis do </w:t>
      </w:r>
      <w:r w:rsidR="004F3049" w:rsidRPr="009D3FAB">
        <w:rPr>
          <w:rFonts w:ascii="Palatino Linotype" w:hAnsi="Palatino Linotype"/>
          <w:sz w:val="22"/>
        </w:rPr>
        <w:t>E</w:t>
      </w:r>
      <w:r w:rsidR="00C977F3" w:rsidRPr="009D3FAB">
        <w:rPr>
          <w:rFonts w:ascii="Palatino Linotype" w:hAnsi="Palatino Linotype"/>
          <w:sz w:val="22"/>
        </w:rPr>
        <w:t>stado de Santa Catarina/Brasil.</w:t>
      </w:r>
      <w:r w:rsidR="00A75884" w:rsidRPr="009D3FAB">
        <w:rPr>
          <w:rFonts w:ascii="Palatino Linotype" w:hAnsi="Palatino Linotype"/>
          <w:sz w:val="22"/>
        </w:rPr>
        <w:t xml:space="preserve"> Embora </w:t>
      </w:r>
      <w:proofErr w:type="spellStart"/>
      <w:r w:rsidR="00113F28" w:rsidRPr="009D3FAB">
        <w:rPr>
          <w:rFonts w:ascii="Palatino Linotype" w:hAnsi="Palatino Linotype"/>
          <w:sz w:val="22"/>
        </w:rPr>
        <w:t>Czesnat</w:t>
      </w:r>
      <w:proofErr w:type="spellEnd"/>
      <w:r w:rsidR="00113F28" w:rsidRPr="009D3FAB">
        <w:rPr>
          <w:rFonts w:ascii="Palatino Linotype" w:hAnsi="Palatino Linotype"/>
          <w:sz w:val="22"/>
        </w:rPr>
        <w:t>, Cunha e Domingues (2009)</w:t>
      </w:r>
      <w:r w:rsidR="00A75884" w:rsidRPr="009D3FAB">
        <w:rPr>
          <w:rFonts w:ascii="Palatino Linotype" w:hAnsi="Palatino Linotype"/>
          <w:sz w:val="22"/>
        </w:rPr>
        <w:t xml:space="preserve"> pesquisaram os currículos de Ciências Contábeis das Universidades do Estado de Santa Catarina listadas pelo MEC e compararam com o currículo mundia</w:t>
      </w:r>
      <w:r w:rsidR="00915186" w:rsidRPr="009D3FAB">
        <w:rPr>
          <w:rFonts w:ascii="Palatino Linotype" w:hAnsi="Palatino Linotype"/>
          <w:sz w:val="22"/>
        </w:rPr>
        <w:t xml:space="preserve">l, </w:t>
      </w:r>
      <w:r w:rsidR="00A75884" w:rsidRPr="009D3FAB">
        <w:rPr>
          <w:rFonts w:ascii="Palatino Linotype" w:hAnsi="Palatino Linotype"/>
          <w:sz w:val="22"/>
        </w:rPr>
        <w:t>os autores mencionaram nos seus achados que apenas quatro das 11 universidades pesquisadas apresentam</w:t>
      </w:r>
      <w:r w:rsidR="00683C98" w:rsidRPr="009D3FAB">
        <w:rPr>
          <w:rFonts w:ascii="Palatino Linotype" w:hAnsi="Palatino Linotype"/>
          <w:sz w:val="22"/>
        </w:rPr>
        <w:t xml:space="preserve"> a disciplina Contabilidade Internacional como obrigatórias em seus currículos. </w:t>
      </w:r>
      <w:r w:rsidR="00FB3472" w:rsidRPr="009D3FAB">
        <w:rPr>
          <w:rFonts w:ascii="Palatino Linotype" w:hAnsi="Palatino Linotype"/>
          <w:sz w:val="22"/>
        </w:rPr>
        <w:t>Vale ressaltar</w:t>
      </w:r>
      <w:r w:rsidR="00C7013C" w:rsidRPr="009D3FAB">
        <w:rPr>
          <w:rFonts w:ascii="Palatino Linotype" w:hAnsi="Palatino Linotype"/>
          <w:sz w:val="22"/>
        </w:rPr>
        <w:t xml:space="preserve"> também</w:t>
      </w:r>
      <w:r w:rsidR="00FB3472" w:rsidRPr="009D3FAB">
        <w:rPr>
          <w:rFonts w:ascii="Palatino Linotype" w:hAnsi="Palatino Linotype"/>
          <w:sz w:val="22"/>
        </w:rPr>
        <w:t xml:space="preserve"> qu</w:t>
      </w:r>
      <w:r w:rsidR="00B32ACD" w:rsidRPr="009D3FAB">
        <w:rPr>
          <w:rFonts w:ascii="Palatino Linotype" w:hAnsi="Palatino Linotype"/>
          <w:sz w:val="22"/>
        </w:rPr>
        <w:t>e</w:t>
      </w:r>
      <w:r w:rsidR="004F3049" w:rsidRPr="009D3FAB">
        <w:rPr>
          <w:rFonts w:ascii="Palatino Linotype" w:hAnsi="Palatino Linotype"/>
          <w:sz w:val="22"/>
        </w:rPr>
        <w:t>,</w:t>
      </w:r>
      <w:r w:rsidR="00B32ACD" w:rsidRPr="009D3FAB">
        <w:rPr>
          <w:rFonts w:ascii="Palatino Linotype" w:hAnsi="Palatino Linotype"/>
          <w:sz w:val="22"/>
        </w:rPr>
        <w:t xml:space="preserve"> neste período</w:t>
      </w:r>
      <w:r w:rsidR="004F3049" w:rsidRPr="009D3FAB">
        <w:rPr>
          <w:rFonts w:ascii="Palatino Linotype" w:hAnsi="Palatino Linotype"/>
          <w:sz w:val="22"/>
        </w:rPr>
        <w:t>,</w:t>
      </w:r>
      <w:r w:rsidR="00B32ACD" w:rsidRPr="009D3FAB">
        <w:rPr>
          <w:rFonts w:ascii="Palatino Linotype" w:hAnsi="Palatino Linotype"/>
          <w:sz w:val="22"/>
        </w:rPr>
        <w:t xml:space="preserve"> foram pesquisada</w:t>
      </w:r>
      <w:r w:rsidR="00FB3472" w:rsidRPr="009D3FAB">
        <w:rPr>
          <w:rFonts w:ascii="Palatino Linotype" w:hAnsi="Palatino Linotype"/>
          <w:sz w:val="22"/>
        </w:rPr>
        <w:t>s 12 universidad</w:t>
      </w:r>
      <w:r w:rsidR="00B32ACD" w:rsidRPr="009D3FAB">
        <w:rPr>
          <w:rFonts w:ascii="Palatino Linotype" w:hAnsi="Palatino Linotype"/>
          <w:sz w:val="22"/>
        </w:rPr>
        <w:t xml:space="preserve">es e, atualmente, </w:t>
      </w:r>
      <w:r w:rsidR="004F3049" w:rsidRPr="009D3FAB">
        <w:rPr>
          <w:rFonts w:ascii="Palatino Linotype" w:hAnsi="Palatino Linotype"/>
          <w:sz w:val="22"/>
        </w:rPr>
        <w:t xml:space="preserve">há </w:t>
      </w:r>
      <w:r w:rsidR="00B32ACD" w:rsidRPr="009D3FAB">
        <w:rPr>
          <w:rFonts w:ascii="Palatino Linotype" w:hAnsi="Palatino Linotype"/>
          <w:sz w:val="22"/>
        </w:rPr>
        <w:t xml:space="preserve">16 </w:t>
      </w:r>
      <w:r w:rsidR="00B960FB" w:rsidRPr="009D3FAB">
        <w:rPr>
          <w:rFonts w:ascii="Palatino Linotype" w:hAnsi="Palatino Linotype"/>
          <w:sz w:val="22"/>
        </w:rPr>
        <w:t>IES associadas ao Sistema ACAFE.</w:t>
      </w:r>
    </w:p>
    <w:p w:rsidR="00AA6E56" w:rsidRPr="009D3FAB" w:rsidRDefault="004F3049" w:rsidP="00BE160E">
      <w:pPr>
        <w:rPr>
          <w:rFonts w:ascii="Palatino Linotype" w:hAnsi="Palatino Linotype"/>
          <w:sz w:val="22"/>
        </w:rPr>
      </w:pPr>
      <w:r w:rsidRPr="009D3FAB">
        <w:rPr>
          <w:rFonts w:ascii="Palatino Linotype" w:hAnsi="Palatino Linotype"/>
          <w:sz w:val="22"/>
        </w:rPr>
        <w:t xml:space="preserve">Diante desse </w:t>
      </w:r>
      <w:r w:rsidR="00A7124A" w:rsidRPr="009D3FAB">
        <w:rPr>
          <w:rFonts w:ascii="Palatino Linotype" w:hAnsi="Palatino Linotype"/>
          <w:sz w:val="22"/>
        </w:rPr>
        <w:t xml:space="preserve">contexto, este estudo </w:t>
      </w:r>
      <w:r w:rsidRPr="009D3FAB">
        <w:rPr>
          <w:rFonts w:ascii="Palatino Linotype" w:hAnsi="Palatino Linotype"/>
          <w:sz w:val="22"/>
        </w:rPr>
        <w:t xml:space="preserve">apresenta </w:t>
      </w:r>
      <w:r w:rsidR="00A7124A" w:rsidRPr="009D3FAB">
        <w:rPr>
          <w:rFonts w:ascii="Palatino Linotype" w:hAnsi="Palatino Linotype"/>
          <w:sz w:val="22"/>
        </w:rPr>
        <w:t>o</w:t>
      </w:r>
      <w:r w:rsidR="00C977F3" w:rsidRPr="009D3FAB">
        <w:rPr>
          <w:rFonts w:ascii="Palatino Linotype" w:hAnsi="Palatino Linotype"/>
          <w:sz w:val="22"/>
        </w:rPr>
        <w:t xml:space="preserve"> seguinte problema de pesquisa: as </w:t>
      </w:r>
      <w:r w:rsidRPr="009D3FAB">
        <w:rPr>
          <w:rFonts w:ascii="Palatino Linotype" w:hAnsi="Palatino Linotype"/>
          <w:sz w:val="22"/>
        </w:rPr>
        <w:t>disciplinas</w:t>
      </w:r>
      <w:r w:rsidR="00C977F3" w:rsidRPr="009D3FAB">
        <w:rPr>
          <w:rFonts w:ascii="Palatino Linotype" w:hAnsi="Palatino Linotype"/>
          <w:sz w:val="22"/>
        </w:rPr>
        <w:t xml:space="preserve"> oferecidas n</w:t>
      </w:r>
      <w:r w:rsidRPr="009D3FAB">
        <w:rPr>
          <w:rFonts w:ascii="Palatino Linotype" w:hAnsi="Palatino Linotype"/>
          <w:sz w:val="22"/>
        </w:rPr>
        <w:t xml:space="preserve">as grades </w:t>
      </w:r>
      <w:r w:rsidR="00C977F3" w:rsidRPr="009D3FAB">
        <w:rPr>
          <w:rFonts w:ascii="Palatino Linotype" w:hAnsi="Palatino Linotype"/>
          <w:sz w:val="22"/>
        </w:rPr>
        <w:t>curr</w:t>
      </w:r>
      <w:r w:rsidRPr="009D3FAB">
        <w:rPr>
          <w:rFonts w:ascii="Palatino Linotype" w:hAnsi="Palatino Linotype"/>
          <w:sz w:val="22"/>
        </w:rPr>
        <w:t xml:space="preserve">iculares das IES vinculadas ao Sistema </w:t>
      </w:r>
      <w:r w:rsidR="00C977F3" w:rsidRPr="009D3FAB">
        <w:rPr>
          <w:rFonts w:ascii="Palatino Linotype" w:hAnsi="Palatino Linotype"/>
          <w:sz w:val="22"/>
        </w:rPr>
        <w:t xml:space="preserve">ACAFE possuem similaridades com </w:t>
      </w:r>
      <w:r w:rsidRPr="009D3FAB">
        <w:rPr>
          <w:rFonts w:ascii="Palatino Linotype" w:hAnsi="Palatino Linotype"/>
          <w:sz w:val="22"/>
        </w:rPr>
        <w:t>àquelas previstas n</w:t>
      </w:r>
      <w:r w:rsidR="008E628E" w:rsidRPr="009D3FAB">
        <w:rPr>
          <w:rFonts w:ascii="Palatino Linotype" w:hAnsi="Palatino Linotype"/>
          <w:sz w:val="22"/>
        </w:rPr>
        <w:t>a</w:t>
      </w:r>
      <w:r w:rsidRPr="009D3FAB">
        <w:rPr>
          <w:rFonts w:ascii="Palatino Linotype" w:hAnsi="Palatino Linotype"/>
          <w:sz w:val="22"/>
        </w:rPr>
        <w:t xml:space="preserve"> </w:t>
      </w:r>
      <w:r w:rsidR="00C04D50" w:rsidRPr="009D3FAB">
        <w:rPr>
          <w:rFonts w:ascii="Palatino Linotype" w:hAnsi="Palatino Linotype"/>
          <w:sz w:val="22"/>
        </w:rPr>
        <w:t>matriz curricular</w:t>
      </w:r>
      <w:r w:rsidR="008E628E" w:rsidRPr="009D3FAB">
        <w:rPr>
          <w:rFonts w:ascii="Palatino Linotype" w:hAnsi="Palatino Linotype"/>
          <w:sz w:val="22"/>
        </w:rPr>
        <w:t xml:space="preserve"> </w:t>
      </w:r>
      <w:r w:rsidR="00C977F3" w:rsidRPr="009D3FAB">
        <w:rPr>
          <w:rFonts w:ascii="Palatino Linotype" w:hAnsi="Palatino Linotype"/>
          <w:sz w:val="22"/>
        </w:rPr>
        <w:t>propost</w:t>
      </w:r>
      <w:r w:rsidR="008E628E" w:rsidRPr="009D3FAB">
        <w:rPr>
          <w:rFonts w:ascii="Palatino Linotype" w:hAnsi="Palatino Linotype"/>
          <w:sz w:val="22"/>
        </w:rPr>
        <w:t>a</w:t>
      </w:r>
      <w:r w:rsidR="00C977F3" w:rsidRPr="009D3FAB">
        <w:rPr>
          <w:rFonts w:ascii="Palatino Linotype" w:hAnsi="Palatino Linotype"/>
          <w:sz w:val="22"/>
        </w:rPr>
        <w:t xml:space="preserve"> pela ONU/UNCTAD/ISAR?</w:t>
      </w:r>
      <w:r w:rsidR="00380E2B" w:rsidRPr="009D3FAB">
        <w:rPr>
          <w:rFonts w:ascii="Palatino Linotype" w:hAnsi="Palatino Linotype"/>
          <w:sz w:val="22"/>
        </w:rPr>
        <w:t xml:space="preserve"> </w:t>
      </w:r>
      <w:r w:rsidR="00664D7E" w:rsidRPr="009D3FAB">
        <w:rPr>
          <w:rFonts w:ascii="Palatino Linotype" w:hAnsi="Palatino Linotype"/>
          <w:sz w:val="22"/>
        </w:rPr>
        <w:t>Desta forma, o estudo tem o objetivo de comparar a adequação das matrizes</w:t>
      </w:r>
      <w:r w:rsidR="00B960FB" w:rsidRPr="009D3FAB">
        <w:rPr>
          <w:rFonts w:ascii="Palatino Linotype" w:hAnsi="Palatino Linotype"/>
          <w:sz w:val="22"/>
        </w:rPr>
        <w:t xml:space="preserve"> </w:t>
      </w:r>
      <w:r w:rsidR="00664D7E" w:rsidRPr="009D3FAB">
        <w:rPr>
          <w:rFonts w:ascii="Palatino Linotype" w:hAnsi="Palatino Linotype"/>
          <w:sz w:val="22"/>
        </w:rPr>
        <w:t>curriculares dos cursos de Ciências Contábeis com a matriz curricula</w:t>
      </w:r>
      <w:r w:rsidR="00B960FB" w:rsidRPr="009D3FAB">
        <w:rPr>
          <w:rFonts w:ascii="Palatino Linotype" w:hAnsi="Palatino Linotype"/>
          <w:sz w:val="22"/>
        </w:rPr>
        <w:t>r</w:t>
      </w:r>
      <w:r w:rsidR="00B960FB" w:rsidRPr="009D3FAB">
        <w:rPr>
          <w:rFonts w:ascii="Palatino Linotype" w:hAnsi="Palatino Linotype"/>
          <w:sz w:val="22"/>
        </w:rPr>
        <w:br/>
        <w:t xml:space="preserve">proposta pela ONU/UNCTAD/ISAR, sendo que os estudos anteriores já têm 3 anos de </w:t>
      </w:r>
      <w:r w:rsidR="00B960FB" w:rsidRPr="009D3FAB">
        <w:rPr>
          <w:rFonts w:ascii="Palatino Linotype" w:hAnsi="Palatino Linotype"/>
          <w:sz w:val="22"/>
        </w:rPr>
        <w:lastRenderedPageBreak/>
        <w:t>publicação, e que nesse meio acadêmico já possa ter ocorrido mudanças pelos resultados encontrados no período.</w:t>
      </w:r>
    </w:p>
    <w:p w:rsidR="009C102F" w:rsidRPr="009D3FAB" w:rsidRDefault="00D91572" w:rsidP="00BE160E">
      <w:pPr>
        <w:rPr>
          <w:rFonts w:ascii="Palatino Linotype" w:hAnsi="Palatino Linotype"/>
          <w:sz w:val="22"/>
        </w:rPr>
      </w:pPr>
      <w:r w:rsidRPr="009D3FAB">
        <w:rPr>
          <w:rFonts w:ascii="Palatino Linotype" w:hAnsi="Palatino Linotype"/>
          <w:sz w:val="22"/>
        </w:rPr>
        <w:t>Os resultados deste estudo podem auxiliar as IES componentes da amostra a reorganizarem suas matrizes curriculares, no sentido de melhor harmonizá-las com a grade internacional proposta pela ONU/UNCTAD/ISAR</w:t>
      </w:r>
      <w:r w:rsidR="003717F5" w:rsidRPr="009D3FAB">
        <w:rPr>
          <w:rFonts w:ascii="Palatino Linotype" w:hAnsi="Palatino Linotype"/>
          <w:sz w:val="22"/>
        </w:rPr>
        <w:t xml:space="preserve">, visto que os estudos anteriores apresentam uma distância dos dias atuais, o que leva a crer que possam ter ocorridas mudança nos currículos. </w:t>
      </w:r>
      <w:r w:rsidR="00F36360" w:rsidRPr="009D3FAB">
        <w:rPr>
          <w:rFonts w:ascii="Palatino Linotype" w:hAnsi="Palatino Linotype"/>
          <w:sz w:val="22"/>
        </w:rPr>
        <w:t xml:space="preserve"> </w:t>
      </w:r>
      <w:r w:rsidR="00B06399" w:rsidRPr="009D3FAB">
        <w:rPr>
          <w:rFonts w:ascii="Palatino Linotype" w:hAnsi="Palatino Linotype"/>
          <w:sz w:val="22"/>
        </w:rPr>
        <w:t>Além disso, acredita-se que esses resultados possam ajudar outras IES do país que estejam procurando adaptar suas matrizes curriculares à proposta internacional.</w:t>
      </w:r>
    </w:p>
    <w:p w:rsidR="00EC5BBB" w:rsidRPr="009D3FAB" w:rsidRDefault="00EC5BBB" w:rsidP="00BE160E">
      <w:pPr>
        <w:rPr>
          <w:rFonts w:ascii="Palatino Linotype" w:hAnsi="Palatino Linotype"/>
          <w:sz w:val="22"/>
        </w:rPr>
      </w:pPr>
    </w:p>
    <w:p w:rsidR="009C102F" w:rsidRPr="009D3FAB" w:rsidRDefault="001558A1" w:rsidP="00FE7B0E">
      <w:pPr>
        <w:pStyle w:val="Ttulo1"/>
        <w:spacing w:before="0"/>
        <w:ind w:left="0" w:firstLine="0"/>
        <w:rPr>
          <w:rFonts w:ascii="Palatino Linotype" w:hAnsi="Palatino Linotype"/>
          <w:sz w:val="22"/>
          <w:szCs w:val="22"/>
        </w:rPr>
      </w:pPr>
      <w:r w:rsidRPr="009D3FAB">
        <w:rPr>
          <w:rFonts w:ascii="Palatino Linotype" w:hAnsi="Palatino Linotype"/>
          <w:caps w:val="0"/>
          <w:sz w:val="22"/>
          <w:szCs w:val="22"/>
        </w:rPr>
        <w:t>REFERENCIAL TEÓRICO</w:t>
      </w:r>
    </w:p>
    <w:p w:rsidR="00AB215E" w:rsidRPr="009D3FAB" w:rsidRDefault="00C521C7" w:rsidP="00BE160E">
      <w:pPr>
        <w:autoSpaceDE w:val="0"/>
        <w:autoSpaceDN w:val="0"/>
        <w:adjustRightInd w:val="0"/>
        <w:rPr>
          <w:rFonts w:ascii="Palatino Linotype" w:hAnsi="Palatino Linotype"/>
          <w:sz w:val="22"/>
        </w:rPr>
      </w:pPr>
      <w:r w:rsidRPr="009D3FAB">
        <w:rPr>
          <w:rFonts w:ascii="Palatino Linotype" w:hAnsi="Palatino Linotype"/>
          <w:sz w:val="22"/>
        </w:rPr>
        <w:t xml:space="preserve">Este capítulo aborda a proposta de um currículo mundial para os cursos de Ciências Contábeis, oriunda da ONU/UNCTAD/ISAR, </w:t>
      </w:r>
      <w:r w:rsidR="00B06399" w:rsidRPr="009D3FAB">
        <w:rPr>
          <w:rFonts w:ascii="Palatino Linotype" w:hAnsi="Palatino Linotype"/>
          <w:sz w:val="22"/>
        </w:rPr>
        <w:t xml:space="preserve">bem como </w:t>
      </w:r>
      <w:r w:rsidRPr="009D3FAB">
        <w:rPr>
          <w:rFonts w:ascii="Palatino Linotype" w:hAnsi="Palatino Linotype"/>
          <w:sz w:val="22"/>
        </w:rPr>
        <w:t xml:space="preserve">estudos relacionados a essa temática. </w:t>
      </w:r>
      <w:r w:rsidR="00B14468" w:rsidRPr="009D3FAB">
        <w:rPr>
          <w:rFonts w:ascii="Palatino Linotype" w:hAnsi="Palatino Linotype"/>
          <w:sz w:val="22"/>
        </w:rPr>
        <w:t xml:space="preserve">A intenção das normas, conforme exposto, seria minimizar as diferenças e divergências </w:t>
      </w:r>
      <w:r w:rsidR="00B06399" w:rsidRPr="009D3FAB">
        <w:rPr>
          <w:rFonts w:ascii="Palatino Linotype" w:hAnsi="Palatino Linotype"/>
          <w:sz w:val="22"/>
        </w:rPr>
        <w:t xml:space="preserve">em função de </w:t>
      </w:r>
      <w:r w:rsidR="00B14468" w:rsidRPr="009D3FAB">
        <w:rPr>
          <w:rFonts w:ascii="Palatino Linotype" w:hAnsi="Palatino Linotype"/>
          <w:sz w:val="22"/>
        </w:rPr>
        <w:t>cada país possuir o seu sistema particular de contabilidade</w:t>
      </w:r>
    </w:p>
    <w:p w:rsidR="00B06399" w:rsidRPr="0070772A" w:rsidRDefault="00B06399" w:rsidP="00BE160E">
      <w:pPr>
        <w:autoSpaceDE w:val="0"/>
        <w:autoSpaceDN w:val="0"/>
        <w:adjustRightInd w:val="0"/>
        <w:rPr>
          <w:rFonts w:ascii="Palatino Linotype" w:hAnsi="Palatino Linotype"/>
          <w:sz w:val="22"/>
        </w:rPr>
      </w:pPr>
    </w:p>
    <w:p w:rsidR="009C102F" w:rsidRPr="0070772A" w:rsidRDefault="001558A1" w:rsidP="00FE7B0E">
      <w:pPr>
        <w:pStyle w:val="Ttulo2"/>
        <w:spacing w:before="0"/>
        <w:ind w:left="0" w:firstLine="0"/>
        <w:rPr>
          <w:rFonts w:ascii="Palatino Linotype" w:hAnsi="Palatino Linotype"/>
          <w:bCs w:val="0"/>
          <w:sz w:val="22"/>
          <w:szCs w:val="22"/>
        </w:rPr>
      </w:pPr>
      <w:r w:rsidRPr="0070772A">
        <w:rPr>
          <w:rFonts w:ascii="Palatino Linotype" w:hAnsi="Palatino Linotype"/>
          <w:sz w:val="22"/>
          <w:szCs w:val="22"/>
        </w:rPr>
        <w:t xml:space="preserve"> </w:t>
      </w:r>
      <w:r w:rsidR="00EC5BBB" w:rsidRPr="0070772A">
        <w:rPr>
          <w:rFonts w:ascii="Palatino Linotype" w:hAnsi="Palatino Linotype"/>
          <w:bCs w:val="0"/>
          <w:sz w:val="22"/>
          <w:szCs w:val="22"/>
        </w:rPr>
        <w:t xml:space="preserve">Proposta </w:t>
      </w:r>
      <w:r w:rsidRPr="0070772A">
        <w:rPr>
          <w:rFonts w:ascii="Palatino Linotype" w:hAnsi="Palatino Linotype"/>
          <w:bCs w:val="0"/>
          <w:sz w:val="22"/>
          <w:szCs w:val="22"/>
        </w:rPr>
        <w:t xml:space="preserve">De Currículo Mundial Da </w:t>
      </w:r>
      <w:r w:rsidR="00EC5BBB" w:rsidRPr="0070772A">
        <w:rPr>
          <w:rFonts w:ascii="Palatino Linotype" w:hAnsi="Palatino Linotype"/>
          <w:bCs w:val="0"/>
          <w:sz w:val="22"/>
          <w:szCs w:val="22"/>
        </w:rPr>
        <w:t>ONU</w:t>
      </w:r>
      <w:r w:rsidRPr="0070772A">
        <w:rPr>
          <w:rFonts w:ascii="Palatino Linotype" w:hAnsi="Palatino Linotype"/>
          <w:bCs w:val="0"/>
          <w:sz w:val="22"/>
          <w:szCs w:val="22"/>
        </w:rPr>
        <w:t>/</w:t>
      </w:r>
      <w:r w:rsidR="00EC5BBB" w:rsidRPr="0070772A">
        <w:rPr>
          <w:rFonts w:ascii="Palatino Linotype" w:hAnsi="Palatino Linotype"/>
          <w:bCs w:val="0"/>
          <w:sz w:val="22"/>
          <w:szCs w:val="22"/>
        </w:rPr>
        <w:t>UNCTAC</w:t>
      </w:r>
      <w:r w:rsidRPr="0070772A">
        <w:rPr>
          <w:rFonts w:ascii="Palatino Linotype" w:hAnsi="Palatino Linotype"/>
          <w:bCs w:val="0"/>
          <w:sz w:val="22"/>
          <w:szCs w:val="22"/>
        </w:rPr>
        <w:t>/</w:t>
      </w:r>
      <w:r w:rsidR="00EC5BBB" w:rsidRPr="0070772A">
        <w:rPr>
          <w:rFonts w:ascii="Palatino Linotype" w:hAnsi="Palatino Linotype"/>
          <w:bCs w:val="0"/>
          <w:sz w:val="22"/>
          <w:szCs w:val="22"/>
        </w:rPr>
        <w:t>ISAR</w:t>
      </w:r>
    </w:p>
    <w:p w:rsidR="004E4343" w:rsidRPr="009D3FAB" w:rsidRDefault="00C521C7" w:rsidP="00BE160E">
      <w:pPr>
        <w:rPr>
          <w:rFonts w:ascii="Palatino Linotype" w:hAnsi="Palatino Linotype"/>
          <w:sz w:val="22"/>
        </w:rPr>
      </w:pPr>
      <w:r w:rsidRPr="0070772A">
        <w:rPr>
          <w:rFonts w:ascii="Palatino Linotype" w:hAnsi="Palatino Linotype"/>
          <w:sz w:val="22"/>
        </w:rPr>
        <w:t xml:space="preserve">A Organização das Nações Unidas (ONU), por meio do </w:t>
      </w:r>
      <w:r w:rsidRPr="0070772A">
        <w:rPr>
          <w:rFonts w:ascii="Palatino Linotype" w:hAnsi="Palatino Linotype"/>
          <w:i/>
          <w:sz w:val="22"/>
        </w:rPr>
        <w:t>Intergovernmental Working Group of Experts on International Standards of Accounting and Reporting</w:t>
      </w:r>
      <w:r w:rsidRPr="0070772A">
        <w:rPr>
          <w:rFonts w:ascii="Palatino Linotype" w:hAnsi="Palatino Linotype"/>
          <w:sz w:val="22"/>
        </w:rPr>
        <w:t xml:space="preserve"> (ISAR), vinculado à </w:t>
      </w:r>
      <w:r w:rsidRPr="0070772A">
        <w:rPr>
          <w:rFonts w:ascii="Palatino Linotype" w:hAnsi="Palatino Linotype"/>
          <w:i/>
          <w:sz w:val="22"/>
        </w:rPr>
        <w:t xml:space="preserve">United Nations Conference on Trade and Development </w:t>
      </w:r>
      <w:r w:rsidRPr="0070772A">
        <w:rPr>
          <w:rFonts w:ascii="Palatino Linotype" w:hAnsi="Palatino Linotype"/>
          <w:sz w:val="22"/>
        </w:rPr>
        <w:t>(</w:t>
      </w:r>
      <w:r w:rsidRPr="009D3FAB">
        <w:rPr>
          <w:rFonts w:ascii="Palatino Linotype" w:hAnsi="Palatino Linotype"/>
          <w:sz w:val="22"/>
        </w:rPr>
        <w:t>UNCTAD</w:t>
      </w:r>
      <w:r w:rsidR="00F53AB0" w:rsidRPr="009D3FAB">
        <w:rPr>
          <w:rFonts w:ascii="Palatino Linotype" w:hAnsi="Palatino Linotype"/>
          <w:sz w:val="22"/>
        </w:rPr>
        <w:t>),</w:t>
      </w:r>
      <w:r w:rsidR="00F53AB0" w:rsidRPr="009D3FAB">
        <w:rPr>
          <w:rFonts w:ascii="Palatino Linotype" w:hAnsi="Palatino Linotype"/>
          <w:sz w:val="22"/>
          <w:lang w:eastAsia="pt-BR"/>
        </w:rPr>
        <w:t xml:space="preserve"> desenvolveu</w:t>
      </w:r>
      <w:r w:rsidRPr="009D3FAB">
        <w:rPr>
          <w:rFonts w:ascii="Palatino Linotype" w:hAnsi="Palatino Linotype"/>
          <w:sz w:val="22"/>
          <w:lang w:eastAsia="pt-BR"/>
        </w:rPr>
        <w:t xml:space="preserve"> </w:t>
      </w:r>
      <w:r w:rsidR="00D53562" w:rsidRPr="009D3FAB">
        <w:rPr>
          <w:rFonts w:ascii="Palatino Linotype" w:hAnsi="Palatino Linotype"/>
          <w:sz w:val="22"/>
          <w:lang w:eastAsia="pt-BR"/>
        </w:rPr>
        <w:t>um currículo para servir como guia na formulação d</w:t>
      </w:r>
      <w:r w:rsidRPr="009D3FAB">
        <w:rPr>
          <w:rFonts w:ascii="Palatino Linotype" w:hAnsi="Palatino Linotype"/>
          <w:sz w:val="22"/>
          <w:lang w:eastAsia="pt-BR"/>
        </w:rPr>
        <w:t>a</w:t>
      </w:r>
      <w:r w:rsidR="00D53562" w:rsidRPr="009D3FAB">
        <w:rPr>
          <w:rFonts w:ascii="Palatino Linotype" w:hAnsi="Palatino Linotype"/>
          <w:sz w:val="22"/>
          <w:lang w:eastAsia="pt-BR"/>
        </w:rPr>
        <w:t>s</w:t>
      </w:r>
      <w:r w:rsidRPr="009D3FAB">
        <w:rPr>
          <w:rFonts w:ascii="Palatino Linotype" w:hAnsi="Palatino Linotype"/>
          <w:sz w:val="22"/>
          <w:lang w:eastAsia="pt-BR"/>
        </w:rPr>
        <w:t xml:space="preserve"> </w:t>
      </w:r>
      <w:r w:rsidR="00835BED" w:rsidRPr="009D3FAB">
        <w:rPr>
          <w:rFonts w:ascii="Palatino Linotype" w:hAnsi="Palatino Linotype"/>
          <w:sz w:val="22"/>
          <w:lang w:eastAsia="pt-BR"/>
        </w:rPr>
        <w:t>matrizes curriculares</w:t>
      </w:r>
      <w:r w:rsidRPr="009D3FAB">
        <w:rPr>
          <w:rFonts w:ascii="Palatino Linotype" w:hAnsi="Palatino Linotype"/>
          <w:sz w:val="22"/>
          <w:lang w:eastAsia="pt-BR"/>
        </w:rPr>
        <w:t xml:space="preserve"> </w:t>
      </w:r>
      <w:r w:rsidR="00D53562" w:rsidRPr="009D3FAB">
        <w:rPr>
          <w:rFonts w:ascii="Palatino Linotype" w:hAnsi="Palatino Linotype"/>
          <w:sz w:val="22"/>
          <w:lang w:eastAsia="pt-BR"/>
        </w:rPr>
        <w:t>dos cursos superiores em Ciências Contábeis de todo o mundo (UNCTAD, 1999).</w:t>
      </w:r>
      <w:r w:rsidR="00AB215E" w:rsidRPr="009D3FAB">
        <w:rPr>
          <w:rFonts w:ascii="Palatino Linotype" w:hAnsi="Palatino Linotype"/>
          <w:sz w:val="22"/>
          <w:lang w:eastAsia="pt-BR"/>
        </w:rPr>
        <w:t xml:space="preserve"> </w:t>
      </w:r>
      <w:r w:rsidR="006F1F66" w:rsidRPr="009D3FAB">
        <w:rPr>
          <w:rFonts w:ascii="Palatino Linotype" w:hAnsi="Palatino Linotype"/>
          <w:sz w:val="22"/>
        </w:rPr>
        <w:t>O</w:t>
      </w:r>
      <w:r w:rsidR="00AB215E" w:rsidRPr="009D3FAB">
        <w:rPr>
          <w:rFonts w:ascii="Palatino Linotype" w:hAnsi="Palatino Linotype"/>
          <w:sz w:val="22"/>
        </w:rPr>
        <w:t xml:space="preserve"> intuito do desenvolvimento desse currículo </w:t>
      </w:r>
      <w:r w:rsidR="006F1F66" w:rsidRPr="009D3FAB">
        <w:rPr>
          <w:rFonts w:ascii="Palatino Linotype" w:hAnsi="Palatino Linotype"/>
          <w:sz w:val="22"/>
        </w:rPr>
        <w:t>foi</w:t>
      </w:r>
      <w:r w:rsidR="00AB215E" w:rsidRPr="009D3FAB">
        <w:rPr>
          <w:rFonts w:ascii="Palatino Linotype" w:hAnsi="Palatino Linotype"/>
          <w:sz w:val="22"/>
        </w:rPr>
        <w:t xml:space="preserve"> apresentar para a comunidade internacional as principais disciplinas técnicas que um indivíduo deveria saber par</w:t>
      </w:r>
      <w:r w:rsidR="002C22EE" w:rsidRPr="009D3FAB">
        <w:rPr>
          <w:rFonts w:ascii="Palatino Linotype" w:hAnsi="Palatino Linotype"/>
          <w:sz w:val="22"/>
        </w:rPr>
        <w:t>a se tornar um profissional con</w:t>
      </w:r>
      <w:r w:rsidR="00AB215E" w:rsidRPr="009D3FAB">
        <w:rPr>
          <w:rFonts w:ascii="Palatino Linotype" w:hAnsi="Palatino Linotype"/>
          <w:sz w:val="22"/>
        </w:rPr>
        <w:t>tábil (UNCTAD, 2009).</w:t>
      </w:r>
    </w:p>
    <w:p w:rsidR="009C102F" w:rsidRPr="009D3FAB" w:rsidRDefault="00113F28" w:rsidP="00BE160E">
      <w:pPr>
        <w:rPr>
          <w:rFonts w:ascii="Palatino Linotype" w:hAnsi="Palatino Linotype"/>
          <w:sz w:val="22"/>
        </w:rPr>
      </w:pPr>
      <w:proofErr w:type="spellStart"/>
      <w:r w:rsidRPr="009D3FAB">
        <w:rPr>
          <w:rFonts w:ascii="Palatino Linotype" w:hAnsi="Palatino Linotype"/>
          <w:sz w:val="22"/>
        </w:rPr>
        <w:t>Czesnat</w:t>
      </w:r>
      <w:proofErr w:type="spellEnd"/>
      <w:r w:rsidRPr="009D3FAB">
        <w:rPr>
          <w:rFonts w:ascii="Palatino Linotype" w:hAnsi="Palatino Linotype"/>
          <w:sz w:val="22"/>
        </w:rPr>
        <w:t>, Cunha e Domingues (2009)</w:t>
      </w:r>
      <w:r w:rsidR="00AB215E" w:rsidRPr="009D3FAB">
        <w:rPr>
          <w:rFonts w:ascii="Palatino Linotype" w:hAnsi="Palatino Linotype"/>
          <w:sz w:val="22"/>
        </w:rPr>
        <w:t xml:space="preserve"> argumentam a importância </w:t>
      </w:r>
      <w:r w:rsidR="006F1F66" w:rsidRPr="009D3FAB">
        <w:rPr>
          <w:rFonts w:ascii="Palatino Linotype" w:hAnsi="Palatino Linotype"/>
          <w:sz w:val="22"/>
        </w:rPr>
        <w:t xml:space="preserve">de </w:t>
      </w:r>
      <w:r w:rsidR="00AB215E" w:rsidRPr="009D3FAB">
        <w:rPr>
          <w:rFonts w:ascii="Palatino Linotype" w:hAnsi="Palatino Linotype"/>
          <w:sz w:val="22"/>
        </w:rPr>
        <w:t xml:space="preserve">que os conhecimentos dos profissionais </w:t>
      </w:r>
      <w:r w:rsidR="006F1F66" w:rsidRPr="009D3FAB">
        <w:rPr>
          <w:rFonts w:ascii="Palatino Linotype" w:hAnsi="Palatino Linotype"/>
          <w:sz w:val="22"/>
        </w:rPr>
        <w:t xml:space="preserve">contábeis </w:t>
      </w:r>
      <w:r w:rsidR="00AB215E" w:rsidRPr="009D3FAB">
        <w:rPr>
          <w:rFonts w:ascii="Palatino Linotype" w:hAnsi="Palatino Linotype"/>
          <w:sz w:val="22"/>
        </w:rPr>
        <w:t>tenham sintonia com as normas</w:t>
      </w:r>
      <w:r w:rsidR="006F1F66" w:rsidRPr="009D3FAB">
        <w:rPr>
          <w:rFonts w:ascii="Palatino Linotype" w:hAnsi="Palatino Linotype"/>
          <w:sz w:val="22"/>
        </w:rPr>
        <w:t xml:space="preserve"> contábeis</w:t>
      </w:r>
      <w:r w:rsidR="00AB215E" w:rsidRPr="009D3FAB">
        <w:rPr>
          <w:rFonts w:ascii="Palatino Linotype" w:hAnsi="Palatino Linotype"/>
          <w:sz w:val="22"/>
        </w:rPr>
        <w:t xml:space="preserve"> internacionais, </w:t>
      </w:r>
      <w:r w:rsidR="006F1F66" w:rsidRPr="009D3FAB">
        <w:rPr>
          <w:rFonts w:ascii="Palatino Linotype" w:hAnsi="Palatino Linotype"/>
          <w:sz w:val="22"/>
        </w:rPr>
        <w:t xml:space="preserve">estando apto para </w:t>
      </w:r>
      <w:r w:rsidR="00AB215E" w:rsidRPr="009D3FAB">
        <w:rPr>
          <w:rFonts w:ascii="Palatino Linotype" w:hAnsi="Palatino Linotype"/>
          <w:sz w:val="22"/>
        </w:rPr>
        <w:t>administr</w:t>
      </w:r>
      <w:r w:rsidR="006F1F66" w:rsidRPr="009D3FAB">
        <w:rPr>
          <w:rFonts w:ascii="Palatino Linotype" w:hAnsi="Palatino Linotype"/>
          <w:sz w:val="22"/>
        </w:rPr>
        <w:t>á-las</w:t>
      </w:r>
      <w:r w:rsidR="00AB215E" w:rsidRPr="009D3FAB">
        <w:rPr>
          <w:rFonts w:ascii="Palatino Linotype" w:hAnsi="Palatino Linotype"/>
          <w:sz w:val="22"/>
        </w:rPr>
        <w:t>, explic</w:t>
      </w:r>
      <w:r w:rsidR="006F1F66" w:rsidRPr="009D3FAB">
        <w:rPr>
          <w:rFonts w:ascii="Palatino Linotype" w:hAnsi="Palatino Linotype"/>
          <w:sz w:val="22"/>
        </w:rPr>
        <w:t>á-las</w:t>
      </w:r>
      <w:r w:rsidR="00AB215E" w:rsidRPr="009D3FAB">
        <w:rPr>
          <w:rFonts w:ascii="Palatino Linotype" w:hAnsi="Palatino Linotype"/>
          <w:sz w:val="22"/>
        </w:rPr>
        <w:t xml:space="preserve"> e aplicá-las co</w:t>
      </w:r>
      <w:r w:rsidR="006F1F66" w:rsidRPr="009D3FAB">
        <w:rPr>
          <w:rFonts w:ascii="Palatino Linotype" w:hAnsi="Palatino Linotype"/>
          <w:sz w:val="22"/>
        </w:rPr>
        <w:t xml:space="preserve">nforme sua </w:t>
      </w:r>
      <w:r w:rsidR="00AB215E" w:rsidRPr="009D3FAB">
        <w:rPr>
          <w:rFonts w:ascii="Palatino Linotype" w:hAnsi="Palatino Linotype"/>
          <w:sz w:val="22"/>
        </w:rPr>
        <w:t xml:space="preserve">necessidade. </w:t>
      </w:r>
      <w:r w:rsidR="006F1F66" w:rsidRPr="009D3FAB">
        <w:rPr>
          <w:rFonts w:ascii="Palatino Linotype" w:hAnsi="Palatino Linotype"/>
          <w:sz w:val="22"/>
        </w:rPr>
        <w:t>Assim, a</w:t>
      </w:r>
      <w:r w:rsidR="00AB215E" w:rsidRPr="009D3FAB">
        <w:rPr>
          <w:rFonts w:ascii="Palatino Linotype" w:hAnsi="Palatino Linotype"/>
          <w:sz w:val="22"/>
        </w:rPr>
        <w:t xml:space="preserve"> harmonização dos currículos versa na possibilidade de diminuir as lacunas nos sistemas nacionais de formação, reduzir os custos de mútuos acordos de reconhecimento e aumentar o comércio internacional de serviços contábeis (UNCTAD, 2009).</w:t>
      </w:r>
    </w:p>
    <w:p w:rsidR="00AB215E" w:rsidRPr="009D3FAB" w:rsidRDefault="00AB215E" w:rsidP="00BE160E">
      <w:pPr>
        <w:rPr>
          <w:rFonts w:ascii="Palatino Linotype" w:hAnsi="Palatino Linotype"/>
          <w:sz w:val="22"/>
        </w:rPr>
      </w:pPr>
      <w:r w:rsidRPr="009D3FAB">
        <w:rPr>
          <w:rFonts w:ascii="Palatino Linotype" w:hAnsi="Palatino Linotype"/>
          <w:sz w:val="22"/>
        </w:rPr>
        <w:t>Os blocos de conhecimento</w:t>
      </w:r>
      <w:r w:rsidR="006F1F66" w:rsidRPr="009D3FAB">
        <w:rPr>
          <w:rFonts w:ascii="Palatino Linotype" w:hAnsi="Palatino Linotype"/>
          <w:sz w:val="22"/>
        </w:rPr>
        <w:t>s</w:t>
      </w:r>
      <w:r w:rsidR="00885FB8" w:rsidRPr="009D3FAB">
        <w:rPr>
          <w:rFonts w:ascii="Palatino Linotype" w:hAnsi="Palatino Linotype"/>
          <w:sz w:val="22"/>
        </w:rPr>
        <w:t xml:space="preserve"> foram</w:t>
      </w:r>
      <w:r w:rsidRPr="009D3FAB">
        <w:rPr>
          <w:rFonts w:ascii="Palatino Linotype" w:hAnsi="Palatino Linotype"/>
          <w:sz w:val="22"/>
        </w:rPr>
        <w:t xml:space="preserve"> definidos pelo ISAR/UNCTAD</w:t>
      </w:r>
      <w:r w:rsidR="00B2515B" w:rsidRPr="009D3FAB">
        <w:rPr>
          <w:rFonts w:ascii="Palatino Linotype" w:hAnsi="Palatino Linotype"/>
          <w:sz w:val="22"/>
        </w:rPr>
        <w:t xml:space="preserve"> na 20ª reunião da UNCTAD, realizada em 2003, </w:t>
      </w:r>
      <w:r w:rsidR="00594F0A" w:rsidRPr="009D3FAB">
        <w:rPr>
          <w:rFonts w:ascii="Palatino Linotype" w:hAnsi="Palatino Linotype"/>
          <w:sz w:val="22"/>
        </w:rPr>
        <w:t>sendo que foi</w:t>
      </w:r>
      <w:r w:rsidR="00B2515B" w:rsidRPr="009D3FAB">
        <w:rPr>
          <w:rFonts w:ascii="Palatino Linotype" w:hAnsi="Palatino Linotype"/>
          <w:sz w:val="22"/>
        </w:rPr>
        <w:t xml:space="preserve"> adotado o docum</w:t>
      </w:r>
      <w:r w:rsidR="007975A5" w:rsidRPr="009D3FAB">
        <w:rPr>
          <w:rFonts w:ascii="Palatino Linotype" w:hAnsi="Palatino Linotype"/>
          <w:sz w:val="22"/>
        </w:rPr>
        <w:t>ento TD/B/COM.2/ISAR/21</w:t>
      </w:r>
      <w:r w:rsidR="00594F0A" w:rsidRPr="009D3FAB">
        <w:rPr>
          <w:rFonts w:ascii="Palatino Linotype" w:hAnsi="Palatino Linotype"/>
          <w:sz w:val="22"/>
        </w:rPr>
        <w:t xml:space="preserve"> com o </w:t>
      </w:r>
      <w:r w:rsidR="00B2515B" w:rsidRPr="009D3FAB">
        <w:rPr>
          <w:rFonts w:ascii="Palatino Linotype" w:hAnsi="Palatino Linotype"/>
          <w:sz w:val="22"/>
        </w:rPr>
        <w:t xml:space="preserve">qual se introduziu modificações nas diretrizes curriculares propostas no </w:t>
      </w:r>
      <w:r w:rsidR="007975A5" w:rsidRPr="009D3FAB">
        <w:rPr>
          <w:rFonts w:ascii="Palatino Linotype" w:hAnsi="Palatino Linotype"/>
          <w:sz w:val="22"/>
        </w:rPr>
        <w:t>TD/B/COM.2/ISAR/6</w:t>
      </w:r>
      <w:r w:rsidR="00B2515B" w:rsidRPr="009D3FAB">
        <w:rPr>
          <w:rFonts w:ascii="Palatino Linotype" w:hAnsi="Palatino Linotype"/>
          <w:sz w:val="22"/>
        </w:rPr>
        <w:t>. Por conseguinte</w:t>
      </w:r>
      <w:r w:rsidR="00B06399" w:rsidRPr="009D3FAB">
        <w:rPr>
          <w:rFonts w:ascii="Palatino Linotype" w:hAnsi="Palatino Linotype"/>
          <w:sz w:val="22"/>
        </w:rPr>
        <w:t>,</w:t>
      </w:r>
      <w:r w:rsidR="00B2515B" w:rsidRPr="009D3FAB">
        <w:rPr>
          <w:rFonts w:ascii="Palatino Linotype" w:hAnsi="Palatino Linotype"/>
          <w:sz w:val="22"/>
        </w:rPr>
        <w:t xml:space="preserve"> apresenta</w:t>
      </w:r>
      <w:r w:rsidR="00B06399" w:rsidRPr="009D3FAB">
        <w:rPr>
          <w:rFonts w:ascii="Palatino Linotype" w:hAnsi="Palatino Linotype"/>
          <w:sz w:val="22"/>
        </w:rPr>
        <w:t xml:space="preserve">-se o </w:t>
      </w:r>
      <w:r w:rsidR="00B2515B" w:rsidRPr="009D3FAB">
        <w:rPr>
          <w:rFonts w:ascii="Palatino Linotype" w:hAnsi="Palatino Linotype"/>
          <w:sz w:val="22"/>
        </w:rPr>
        <w:t>TD/B/COM.2/ISAR/21 detalhado</w:t>
      </w:r>
      <w:r w:rsidR="00F53AB0" w:rsidRPr="009D3FAB">
        <w:rPr>
          <w:rFonts w:ascii="Palatino Linotype" w:hAnsi="Palatino Linotype"/>
          <w:sz w:val="22"/>
        </w:rPr>
        <w:t xml:space="preserve"> </w:t>
      </w:r>
      <w:r w:rsidR="00B2515B" w:rsidRPr="009D3FAB">
        <w:rPr>
          <w:rFonts w:ascii="Palatino Linotype" w:hAnsi="Palatino Linotype"/>
          <w:sz w:val="22"/>
        </w:rPr>
        <w:t xml:space="preserve">no </w:t>
      </w:r>
      <w:r w:rsidRPr="009D3FAB">
        <w:rPr>
          <w:rFonts w:ascii="Palatino Linotype" w:hAnsi="Palatino Linotype"/>
          <w:sz w:val="22"/>
        </w:rPr>
        <w:t>Quadro 1.</w:t>
      </w:r>
    </w:p>
    <w:p w:rsidR="0074145A" w:rsidRPr="0070772A" w:rsidRDefault="0074145A" w:rsidP="00BE160E">
      <w:pPr>
        <w:rPr>
          <w:rFonts w:ascii="Palatino Linotype" w:hAnsi="Palatino Linotype"/>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168"/>
        <w:gridCol w:w="2201"/>
        <w:gridCol w:w="2525"/>
      </w:tblGrid>
      <w:tr w:rsidR="0074145A" w:rsidRPr="0070772A" w:rsidTr="00796609">
        <w:tc>
          <w:tcPr>
            <w:tcW w:w="5000" w:type="pct"/>
            <w:gridSpan w:val="4"/>
            <w:tcBorders>
              <w:top w:val="nil"/>
              <w:left w:val="nil"/>
              <w:bottom w:val="single" w:sz="4" w:space="0" w:color="auto"/>
              <w:right w:val="nil"/>
            </w:tcBorders>
            <w:shd w:val="clear" w:color="auto" w:fill="auto"/>
          </w:tcPr>
          <w:p w:rsidR="0074145A" w:rsidRPr="0070772A" w:rsidRDefault="0074145A" w:rsidP="00BE160E">
            <w:pPr>
              <w:ind w:firstLine="0"/>
              <w:jc w:val="center"/>
              <w:rPr>
                <w:rFonts w:ascii="Palatino Linotype" w:hAnsi="Palatino Linotype"/>
                <w:b/>
                <w:sz w:val="18"/>
                <w:szCs w:val="18"/>
              </w:rPr>
            </w:pPr>
            <w:r w:rsidRPr="0070772A">
              <w:rPr>
                <w:rFonts w:ascii="Palatino Linotype" w:hAnsi="Palatino Linotype"/>
                <w:b/>
                <w:sz w:val="18"/>
                <w:szCs w:val="18"/>
              </w:rPr>
              <w:t>Quadro1 – Bloco de Conhecimento definidos pelo ISAR/UNCTAD</w:t>
            </w:r>
          </w:p>
        </w:tc>
      </w:tr>
      <w:tr w:rsidR="0070772A" w:rsidRPr="0070772A" w:rsidTr="00796609">
        <w:tc>
          <w:tcPr>
            <w:tcW w:w="1200" w:type="pct"/>
            <w:tcBorders>
              <w:top w:val="single" w:sz="4" w:space="0" w:color="auto"/>
              <w:bottom w:val="single" w:sz="4" w:space="0" w:color="auto"/>
            </w:tcBorders>
            <w:shd w:val="clear" w:color="auto" w:fill="auto"/>
          </w:tcPr>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1 – Conhecimento Ad</w:t>
            </w:r>
            <w:r w:rsidR="00F54D13" w:rsidRPr="0070772A">
              <w:rPr>
                <w:rFonts w:ascii="Palatino Linotype" w:hAnsi="Palatino Linotype"/>
                <w:sz w:val="18"/>
                <w:szCs w:val="18"/>
              </w:rPr>
              <w:softHyphen/>
            </w:r>
            <w:r w:rsidRPr="0070772A">
              <w:rPr>
                <w:rFonts w:ascii="Palatino Linotype" w:hAnsi="Palatino Linotype"/>
                <w:sz w:val="18"/>
                <w:szCs w:val="18"/>
              </w:rPr>
              <w:t>ministrativo e Or</w:t>
            </w:r>
            <w:r w:rsidR="001A1F8B" w:rsidRPr="0070772A">
              <w:rPr>
                <w:rFonts w:ascii="Palatino Linotype" w:hAnsi="Palatino Linotype"/>
                <w:sz w:val="18"/>
                <w:szCs w:val="18"/>
              </w:rPr>
              <w:softHyphen/>
            </w:r>
            <w:r w:rsidRPr="0070772A">
              <w:rPr>
                <w:rFonts w:ascii="Palatino Linotype" w:hAnsi="Palatino Linotype"/>
                <w:sz w:val="18"/>
                <w:szCs w:val="18"/>
              </w:rPr>
              <w:t>ganiza</w:t>
            </w:r>
            <w:r w:rsidR="00F54D13" w:rsidRPr="0070772A">
              <w:rPr>
                <w:rFonts w:ascii="Palatino Linotype" w:hAnsi="Palatino Linotype"/>
                <w:sz w:val="18"/>
                <w:szCs w:val="18"/>
              </w:rPr>
              <w:softHyphen/>
            </w:r>
            <w:r w:rsidRPr="0070772A">
              <w:rPr>
                <w:rFonts w:ascii="Palatino Linotype" w:hAnsi="Palatino Linotype"/>
                <w:sz w:val="18"/>
                <w:szCs w:val="18"/>
              </w:rPr>
              <w:t>cional</w:t>
            </w:r>
          </w:p>
        </w:tc>
        <w:tc>
          <w:tcPr>
            <w:tcW w:w="1195" w:type="pct"/>
            <w:tcBorders>
              <w:top w:val="single" w:sz="4" w:space="0" w:color="auto"/>
              <w:bottom w:val="single" w:sz="4" w:space="0" w:color="auto"/>
            </w:tcBorders>
            <w:shd w:val="clear" w:color="auto" w:fill="auto"/>
          </w:tcPr>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2 – Tecnologia de Infor</w:t>
            </w:r>
            <w:r w:rsidR="00F54D13" w:rsidRPr="0070772A">
              <w:rPr>
                <w:rFonts w:ascii="Palatino Linotype" w:hAnsi="Palatino Linotype"/>
                <w:sz w:val="18"/>
                <w:szCs w:val="18"/>
              </w:rPr>
              <w:softHyphen/>
            </w:r>
            <w:r w:rsidRPr="0070772A">
              <w:rPr>
                <w:rFonts w:ascii="Palatino Linotype" w:hAnsi="Palatino Linotype"/>
                <w:sz w:val="18"/>
                <w:szCs w:val="18"/>
              </w:rPr>
              <w:t>mação</w:t>
            </w:r>
          </w:p>
        </w:tc>
        <w:tc>
          <w:tcPr>
            <w:tcW w:w="1213" w:type="pct"/>
            <w:tcBorders>
              <w:top w:val="single" w:sz="4" w:space="0" w:color="auto"/>
              <w:bottom w:val="single" w:sz="4" w:space="0" w:color="auto"/>
            </w:tcBorders>
            <w:shd w:val="clear" w:color="auto" w:fill="auto"/>
          </w:tcPr>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3 – Conhecimento Con</w:t>
            </w:r>
            <w:r w:rsidR="00F54D13" w:rsidRPr="0070772A">
              <w:rPr>
                <w:rFonts w:ascii="Palatino Linotype" w:hAnsi="Palatino Linotype"/>
                <w:sz w:val="18"/>
                <w:szCs w:val="18"/>
              </w:rPr>
              <w:softHyphen/>
            </w:r>
            <w:r w:rsidRPr="0070772A">
              <w:rPr>
                <w:rFonts w:ascii="Palatino Linotype" w:hAnsi="Palatino Linotype"/>
                <w:sz w:val="18"/>
                <w:szCs w:val="18"/>
              </w:rPr>
              <w:t>tábeis, Financeiros e As</w:t>
            </w:r>
            <w:r w:rsidR="00F54D13" w:rsidRPr="0070772A">
              <w:rPr>
                <w:rFonts w:ascii="Palatino Linotype" w:hAnsi="Palatino Linotype"/>
                <w:sz w:val="18"/>
                <w:szCs w:val="18"/>
              </w:rPr>
              <w:softHyphen/>
            </w:r>
            <w:r w:rsidRPr="0070772A">
              <w:rPr>
                <w:rFonts w:ascii="Palatino Linotype" w:hAnsi="Palatino Linotype"/>
                <w:sz w:val="18"/>
                <w:szCs w:val="18"/>
              </w:rPr>
              <w:t>suntos Afins</w:t>
            </w:r>
          </w:p>
        </w:tc>
        <w:tc>
          <w:tcPr>
            <w:tcW w:w="1392" w:type="pct"/>
            <w:tcBorders>
              <w:top w:val="single" w:sz="4" w:space="0" w:color="auto"/>
              <w:bottom w:val="single" w:sz="4" w:space="0" w:color="auto"/>
            </w:tcBorders>
            <w:shd w:val="clear" w:color="auto" w:fill="auto"/>
          </w:tcPr>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4 – Conhecimento (avan</w:t>
            </w:r>
            <w:r w:rsidR="001A1F8B" w:rsidRPr="0070772A">
              <w:rPr>
                <w:rFonts w:ascii="Palatino Linotype" w:hAnsi="Palatino Linotype"/>
                <w:sz w:val="18"/>
                <w:szCs w:val="18"/>
              </w:rPr>
              <w:softHyphen/>
            </w:r>
            <w:r w:rsidRPr="0070772A">
              <w:rPr>
                <w:rFonts w:ascii="Palatino Linotype" w:hAnsi="Palatino Linotype"/>
                <w:sz w:val="18"/>
                <w:szCs w:val="18"/>
              </w:rPr>
              <w:t>çado) em Contabilidade, Fi</w:t>
            </w:r>
            <w:r w:rsidR="00F54D13" w:rsidRPr="0070772A">
              <w:rPr>
                <w:rFonts w:ascii="Palatino Linotype" w:hAnsi="Palatino Linotype"/>
                <w:sz w:val="18"/>
                <w:szCs w:val="18"/>
              </w:rPr>
              <w:softHyphen/>
            </w:r>
            <w:r w:rsidRPr="0070772A">
              <w:rPr>
                <w:rFonts w:ascii="Palatino Linotype" w:hAnsi="Palatino Linotype"/>
                <w:sz w:val="18"/>
                <w:szCs w:val="18"/>
              </w:rPr>
              <w:t>nanças e Assuntos Afins</w:t>
            </w:r>
          </w:p>
        </w:tc>
      </w:tr>
      <w:tr w:rsidR="0070772A" w:rsidRPr="0070772A" w:rsidTr="00796609">
        <w:trPr>
          <w:trHeight w:val="4460"/>
        </w:trPr>
        <w:tc>
          <w:tcPr>
            <w:tcW w:w="1200" w:type="pct"/>
            <w:tcBorders>
              <w:top w:val="single" w:sz="4" w:space="0" w:color="auto"/>
              <w:left w:val="single" w:sz="4" w:space="0" w:color="auto"/>
              <w:right w:val="single" w:sz="4" w:space="0" w:color="auto"/>
            </w:tcBorders>
            <w:shd w:val="clear" w:color="auto" w:fill="auto"/>
          </w:tcPr>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lastRenderedPageBreak/>
              <w:t>a) Economia;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b) Métodos quantitati</w:t>
            </w:r>
            <w:r w:rsidR="001A1F8B" w:rsidRPr="0070772A">
              <w:rPr>
                <w:rFonts w:ascii="Palatino Linotype" w:hAnsi="Palatino Linotype"/>
                <w:sz w:val="18"/>
                <w:szCs w:val="18"/>
              </w:rPr>
              <w:softHyphen/>
            </w:r>
            <w:r w:rsidRPr="0070772A">
              <w:rPr>
                <w:rFonts w:ascii="Palatino Linotype" w:hAnsi="Palatino Linotype"/>
                <w:sz w:val="18"/>
                <w:szCs w:val="18"/>
              </w:rPr>
              <w:t>vos e estatísticos para as em</w:t>
            </w:r>
            <w:r w:rsidRPr="0070772A">
              <w:rPr>
                <w:rFonts w:ascii="Palatino Linotype" w:hAnsi="Palatino Linotype"/>
                <w:sz w:val="18"/>
                <w:szCs w:val="18"/>
              </w:rPr>
              <w:softHyphen/>
              <w:t>presas;</w:t>
            </w:r>
          </w:p>
          <w:p w:rsidR="0074145A" w:rsidRPr="0070772A" w:rsidRDefault="0074145A" w:rsidP="00BE160E">
            <w:pPr>
              <w:ind w:firstLine="0"/>
              <w:rPr>
                <w:rFonts w:ascii="Palatino Linotype" w:hAnsi="Palatino Linotype"/>
                <w:sz w:val="18"/>
                <w:szCs w:val="18"/>
              </w:rPr>
            </w:pPr>
            <w:proofErr w:type="gramStart"/>
            <w:r w:rsidRPr="0070772A">
              <w:rPr>
                <w:rFonts w:ascii="Palatino Linotype" w:hAnsi="Palatino Linotype"/>
                <w:sz w:val="18"/>
                <w:szCs w:val="18"/>
              </w:rPr>
              <w:t>c) Politicas</w:t>
            </w:r>
            <w:proofErr w:type="gramEnd"/>
            <w:r w:rsidRPr="0070772A">
              <w:rPr>
                <w:rFonts w:ascii="Palatino Linotype" w:hAnsi="Palatino Linotype"/>
                <w:sz w:val="18"/>
                <w:szCs w:val="18"/>
              </w:rPr>
              <w:t xml:space="preserve"> empresari</w:t>
            </w:r>
            <w:r w:rsidR="001A1F8B" w:rsidRPr="0070772A">
              <w:rPr>
                <w:rFonts w:ascii="Palatino Linotype" w:hAnsi="Palatino Linotype"/>
                <w:sz w:val="18"/>
                <w:szCs w:val="18"/>
              </w:rPr>
              <w:softHyphen/>
            </w:r>
            <w:r w:rsidRPr="0070772A">
              <w:rPr>
                <w:rFonts w:ascii="Palatino Linotype" w:hAnsi="Palatino Linotype"/>
                <w:sz w:val="18"/>
                <w:szCs w:val="18"/>
              </w:rPr>
              <w:t>ais, de estrutura orga</w:t>
            </w:r>
            <w:r w:rsidR="001A1F8B" w:rsidRPr="0070772A">
              <w:rPr>
                <w:rFonts w:ascii="Palatino Linotype" w:hAnsi="Palatino Linotype"/>
                <w:sz w:val="18"/>
                <w:szCs w:val="18"/>
              </w:rPr>
              <w:softHyphen/>
            </w:r>
            <w:r w:rsidRPr="0070772A">
              <w:rPr>
                <w:rFonts w:ascii="Palatino Linotype" w:hAnsi="Palatino Linotype"/>
                <w:sz w:val="18"/>
                <w:szCs w:val="18"/>
              </w:rPr>
              <w:t>ni</w:t>
            </w:r>
            <w:r w:rsidR="00F54D13" w:rsidRPr="0070772A">
              <w:rPr>
                <w:rFonts w:ascii="Palatino Linotype" w:hAnsi="Palatino Linotype"/>
                <w:sz w:val="18"/>
                <w:szCs w:val="18"/>
              </w:rPr>
              <w:softHyphen/>
            </w:r>
            <w:r w:rsidRPr="0070772A">
              <w:rPr>
                <w:rFonts w:ascii="Palatino Linotype" w:hAnsi="Palatino Linotype"/>
                <w:sz w:val="18"/>
                <w:szCs w:val="18"/>
              </w:rPr>
              <w:t>zaci</w:t>
            </w:r>
            <w:r w:rsidRPr="0070772A">
              <w:rPr>
                <w:rFonts w:ascii="Palatino Linotype" w:hAnsi="Palatino Linotype"/>
                <w:sz w:val="18"/>
                <w:szCs w:val="18"/>
              </w:rPr>
              <w:softHyphen/>
              <w:t>onais básicas, e compor</w:t>
            </w:r>
            <w:r w:rsidRPr="0070772A">
              <w:rPr>
                <w:rFonts w:ascii="Palatino Linotype" w:hAnsi="Palatino Linotype"/>
                <w:sz w:val="18"/>
                <w:szCs w:val="18"/>
              </w:rPr>
              <w:softHyphen/>
              <w:t>tamento orga</w:t>
            </w:r>
            <w:r w:rsidR="001A1F8B" w:rsidRPr="0070772A">
              <w:rPr>
                <w:rFonts w:ascii="Palatino Linotype" w:hAnsi="Palatino Linotype"/>
                <w:sz w:val="18"/>
                <w:szCs w:val="18"/>
              </w:rPr>
              <w:softHyphen/>
            </w:r>
            <w:r w:rsidRPr="0070772A">
              <w:rPr>
                <w:rFonts w:ascii="Palatino Linotype" w:hAnsi="Palatino Linotype"/>
                <w:sz w:val="18"/>
                <w:szCs w:val="18"/>
              </w:rPr>
              <w:t>ni</w:t>
            </w:r>
            <w:r w:rsidR="00F54D13" w:rsidRPr="0070772A">
              <w:rPr>
                <w:rFonts w:ascii="Palatino Linotype" w:hAnsi="Palatino Linotype"/>
                <w:sz w:val="18"/>
                <w:szCs w:val="18"/>
              </w:rPr>
              <w:softHyphen/>
            </w:r>
            <w:r w:rsidRPr="0070772A">
              <w:rPr>
                <w:rFonts w:ascii="Palatino Linotype" w:hAnsi="Palatino Linotype"/>
                <w:sz w:val="18"/>
                <w:szCs w:val="18"/>
              </w:rPr>
              <w:t>zacional;</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d) Funções e práticas ad</w:t>
            </w:r>
            <w:r w:rsidRPr="0070772A">
              <w:rPr>
                <w:rFonts w:ascii="Palatino Linotype" w:hAnsi="Palatino Linotype"/>
                <w:sz w:val="18"/>
                <w:szCs w:val="18"/>
              </w:rPr>
              <w:softHyphen/>
              <w:t>ministrativas, e gestão de operações;</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e) Marketing;</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f) Mercados internaci</w:t>
            </w:r>
            <w:r w:rsidR="001A1F8B" w:rsidRPr="0070772A">
              <w:rPr>
                <w:rFonts w:ascii="Palatino Linotype" w:hAnsi="Palatino Linotype"/>
                <w:sz w:val="18"/>
                <w:szCs w:val="18"/>
              </w:rPr>
              <w:softHyphen/>
            </w:r>
            <w:r w:rsidRPr="0070772A">
              <w:rPr>
                <w:rFonts w:ascii="Palatino Linotype" w:hAnsi="Palatino Linotype"/>
                <w:sz w:val="18"/>
                <w:szCs w:val="18"/>
              </w:rPr>
              <w:t>o</w:t>
            </w:r>
            <w:r w:rsidRPr="0070772A">
              <w:rPr>
                <w:rFonts w:ascii="Palatino Linotype" w:hAnsi="Palatino Linotype"/>
                <w:sz w:val="18"/>
                <w:szCs w:val="18"/>
              </w:rPr>
              <w:softHyphen/>
              <w:t>nais.</w:t>
            </w:r>
          </w:p>
        </w:tc>
        <w:tc>
          <w:tcPr>
            <w:tcW w:w="1195" w:type="pct"/>
            <w:tcBorders>
              <w:top w:val="single" w:sz="4" w:space="0" w:color="auto"/>
              <w:left w:val="single" w:sz="4" w:space="0" w:color="auto"/>
              <w:right w:val="single" w:sz="4" w:space="0" w:color="auto"/>
            </w:tcBorders>
            <w:shd w:val="clear" w:color="auto" w:fill="auto"/>
          </w:tcPr>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a) Tecnologia de in</w:t>
            </w:r>
            <w:r w:rsidR="001A1F8B" w:rsidRPr="0070772A">
              <w:rPr>
                <w:rFonts w:ascii="Palatino Linotype" w:hAnsi="Palatino Linotype"/>
                <w:sz w:val="18"/>
                <w:szCs w:val="18"/>
              </w:rPr>
              <w:softHyphen/>
            </w:r>
            <w:r w:rsidRPr="0070772A">
              <w:rPr>
                <w:rFonts w:ascii="Palatino Linotype" w:hAnsi="Palatino Linotype"/>
                <w:sz w:val="18"/>
                <w:szCs w:val="18"/>
              </w:rPr>
              <w:t>for</w:t>
            </w:r>
            <w:r w:rsidR="00F54D13" w:rsidRPr="0070772A">
              <w:rPr>
                <w:rFonts w:ascii="Palatino Linotype" w:hAnsi="Palatino Linotype"/>
                <w:sz w:val="18"/>
                <w:szCs w:val="18"/>
              </w:rPr>
              <w:softHyphen/>
            </w:r>
            <w:r w:rsidRPr="0070772A">
              <w:rPr>
                <w:rFonts w:ascii="Palatino Linotype" w:hAnsi="Palatino Linotype"/>
                <w:sz w:val="18"/>
                <w:szCs w:val="18"/>
              </w:rPr>
              <w:t>mação.</w:t>
            </w:r>
          </w:p>
        </w:tc>
        <w:tc>
          <w:tcPr>
            <w:tcW w:w="1213" w:type="pct"/>
            <w:tcBorders>
              <w:top w:val="single" w:sz="4" w:space="0" w:color="auto"/>
              <w:left w:val="single" w:sz="4" w:space="0" w:color="auto"/>
              <w:right w:val="single" w:sz="4" w:space="0" w:color="auto"/>
            </w:tcBorders>
            <w:shd w:val="clear" w:color="auto" w:fill="auto"/>
          </w:tcPr>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a) Contabilidade bási</w:t>
            </w:r>
            <w:r w:rsidR="001A1F8B" w:rsidRPr="0070772A">
              <w:rPr>
                <w:rFonts w:ascii="Palatino Linotype" w:hAnsi="Palatino Linotype"/>
                <w:sz w:val="18"/>
                <w:szCs w:val="18"/>
              </w:rPr>
              <w:softHyphen/>
            </w:r>
            <w:r w:rsidRPr="0070772A">
              <w:rPr>
                <w:rFonts w:ascii="Palatino Linotype" w:hAnsi="Palatino Linotype"/>
                <w:sz w:val="18"/>
                <w:szCs w:val="18"/>
              </w:rPr>
              <w:t>ca;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b) Contabilidade finan</w:t>
            </w:r>
            <w:r w:rsidR="001A1F8B" w:rsidRPr="0070772A">
              <w:rPr>
                <w:rFonts w:ascii="Palatino Linotype" w:hAnsi="Palatino Linotype"/>
                <w:sz w:val="18"/>
                <w:szCs w:val="18"/>
              </w:rPr>
              <w:softHyphen/>
            </w:r>
            <w:r w:rsidRPr="0070772A">
              <w:rPr>
                <w:rFonts w:ascii="Palatino Linotype" w:hAnsi="Palatino Linotype"/>
                <w:sz w:val="18"/>
                <w:szCs w:val="18"/>
              </w:rPr>
              <w:t>ceira;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c) Contabilidade finan</w:t>
            </w:r>
            <w:r w:rsidR="001A1F8B" w:rsidRPr="0070772A">
              <w:rPr>
                <w:rFonts w:ascii="Palatino Linotype" w:hAnsi="Palatino Linotype"/>
                <w:sz w:val="18"/>
                <w:szCs w:val="18"/>
              </w:rPr>
              <w:softHyphen/>
            </w:r>
            <w:r w:rsidRPr="0070772A">
              <w:rPr>
                <w:rFonts w:ascii="Palatino Linotype" w:hAnsi="Palatino Linotype"/>
                <w:sz w:val="18"/>
                <w:szCs w:val="18"/>
              </w:rPr>
              <w:t>ceira avançada;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d) Contabilidade ge</w:t>
            </w:r>
            <w:r w:rsidR="001A1F8B" w:rsidRPr="0070772A">
              <w:rPr>
                <w:rFonts w:ascii="Palatino Linotype" w:hAnsi="Palatino Linotype"/>
                <w:sz w:val="18"/>
                <w:szCs w:val="18"/>
              </w:rPr>
              <w:softHyphen/>
            </w:r>
            <w:r w:rsidRPr="0070772A">
              <w:rPr>
                <w:rFonts w:ascii="Palatino Linotype" w:hAnsi="Palatino Linotype"/>
                <w:sz w:val="18"/>
                <w:szCs w:val="18"/>
              </w:rPr>
              <w:t>ren</w:t>
            </w:r>
            <w:r w:rsidR="00F54D13" w:rsidRPr="0070772A">
              <w:rPr>
                <w:rFonts w:ascii="Palatino Linotype" w:hAnsi="Palatino Linotype"/>
                <w:sz w:val="18"/>
                <w:szCs w:val="18"/>
              </w:rPr>
              <w:softHyphen/>
            </w:r>
            <w:r w:rsidRPr="0070772A">
              <w:rPr>
                <w:rFonts w:ascii="Palatino Linotype" w:hAnsi="Palatino Linotype"/>
                <w:sz w:val="18"/>
                <w:szCs w:val="18"/>
              </w:rPr>
              <w:t>cial (conceitos bási</w:t>
            </w:r>
            <w:r w:rsidR="001A1F8B" w:rsidRPr="0070772A">
              <w:rPr>
                <w:rFonts w:ascii="Palatino Linotype" w:hAnsi="Palatino Linotype"/>
                <w:sz w:val="18"/>
                <w:szCs w:val="18"/>
              </w:rPr>
              <w:softHyphen/>
            </w:r>
            <w:r w:rsidRPr="0070772A">
              <w:rPr>
                <w:rFonts w:ascii="Palatino Linotype" w:hAnsi="Palatino Linotype"/>
                <w:sz w:val="18"/>
                <w:szCs w:val="18"/>
              </w:rPr>
              <w:t>cos);</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e) Tributação;</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f) Sistemas de infor</w:t>
            </w:r>
            <w:r w:rsidR="001A1F8B" w:rsidRPr="0070772A">
              <w:rPr>
                <w:rFonts w:ascii="Palatino Linotype" w:hAnsi="Palatino Linotype"/>
                <w:sz w:val="18"/>
                <w:szCs w:val="18"/>
              </w:rPr>
              <w:softHyphen/>
            </w:r>
            <w:r w:rsidRPr="0070772A">
              <w:rPr>
                <w:rFonts w:ascii="Palatino Linotype" w:hAnsi="Palatino Linotype"/>
                <w:sz w:val="18"/>
                <w:szCs w:val="18"/>
              </w:rPr>
              <w:t>ma</w:t>
            </w:r>
            <w:r w:rsidR="00F54D13" w:rsidRPr="0070772A">
              <w:rPr>
                <w:rFonts w:ascii="Palatino Linotype" w:hAnsi="Palatino Linotype"/>
                <w:sz w:val="18"/>
                <w:szCs w:val="18"/>
              </w:rPr>
              <w:softHyphen/>
            </w:r>
            <w:r w:rsidRPr="0070772A">
              <w:rPr>
                <w:rFonts w:ascii="Palatino Linotype" w:hAnsi="Palatino Linotype"/>
                <w:sz w:val="18"/>
                <w:szCs w:val="18"/>
              </w:rPr>
              <w:t>ções contábeis;</w:t>
            </w:r>
          </w:p>
          <w:p w:rsidR="0074145A" w:rsidRPr="0070772A" w:rsidRDefault="0074145A" w:rsidP="00BE160E">
            <w:pPr>
              <w:ind w:firstLine="0"/>
              <w:rPr>
                <w:rFonts w:ascii="Palatino Linotype" w:hAnsi="Palatino Linotype"/>
                <w:sz w:val="18"/>
                <w:szCs w:val="18"/>
              </w:rPr>
            </w:pPr>
            <w:proofErr w:type="gramStart"/>
            <w:r w:rsidRPr="0070772A">
              <w:rPr>
                <w:rFonts w:ascii="Palatino Linotype" w:hAnsi="Palatino Linotype"/>
                <w:sz w:val="18"/>
                <w:szCs w:val="18"/>
              </w:rPr>
              <w:t>g) Direto</w:t>
            </w:r>
            <w:proofErr w:type="gramEnd"/>
            <w:r w:rsidRPr="0070772A">
              <w:rPr>
                <w:rFonts w:ascii="Palatino Linotype" w:hAnsi="Palatino Linotype"/>
                <w:sz w:val="18"/>
                <w:szCs w:val="18"/>
              </w:rPr>
              <w:t xml:space="preserve"> comercial e empresarial;</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h) Fundamentos sobre auditoria;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i) Finanças empresari</w:t>
            </w:r>
            <w:r w:rsidR="001A1F8B" w:rsidRPr="0070772A">
              <w:rPr>
                <w:rFonts w:ascii="Palatino Linotype" w:hAnsi="Palatino Linotype"/>
                <w:sz w:val="18"/>
                <w:szCs w:val="18"/>
              </w:rPr>
              <w:softHyphen/>
            </w:r>
            <w:r w:rsidRPr="0070772A">
              <w:rPr>
                <w:rFonts w:ascii="Palatino Linotype" w:hAnsi="Palatino Linotype"/>
                <w:sz w:val="18"/>
                <w:szCs w:val="18"/>
              </w:rPr>
              <w:t>ais e gestão financeira;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j) Módulo sobre inte</w:t>
            </w:r>
            <w:r w:rsidR="001A1F8B" w:rsidRPr="0070772A">
              <w:rPr>
                <w:rFonts w:ascii="Palatino Linotype" w:hAnsi="Palatino Linotype"/>
                <w:sz w:val="18"/>
                <w:szCs w:val="18"/>
              </w:rPr>
              <w:softHyphen/>
            </w:r>
            <w:r w:rsidRPr="0070772A">
              <w:rPr>
                <w:rFonts w:ascii="Palatino Linotype" w:hAnsi="Palatino Linotype"/>
                <w:sz w:val="18"/>
                <w:szCs w:val="18"/>
              </w:rPr>
              <w:t>gra</w:t>
            </w:r>
            <w:r w:rsidR="00F54D13" w:rsidRPr="0070772A">
              <w:rPr>
                <w:rFonts w:ascii="Palatino Linotype" w:hAnsi="Palatino Linotype"/>
                <w:sz w:val="18"/>
                <w:szCs w:val="18"/>
              </w:rPr>
              <w:softHyphen/>
            </w:r>
            <w:r w:rsidRPr="0070772A">
              <w:rPr>
                <w:rFonts w:ascii="Palatino Linotype" w:hAnsi="Palatino Linotype"/>
                <w:sz w:val="18"/>
                <w:szCs w:val="18"/>
              </w:rPr>
              <w:t>ção do conhecimen</w:t>
            </w:r>
            <w:r w:rsidR="001A1F8B" w:rsidRPr="0070772A">
              <w:rPr>
                <w:rFonts w:ascii="Palatino Linotype" w:hAnsi="Palatino Linotype"/>
                <w:sz w:val="18"/>
                <w:szCs w:val="18"/>
              </w:rPr>
              <w:softHyphen/>
            </w:r>
            <w:r w:rsidRPr="0070772A">
              <w:rPr>
                <w:rFonts w:ascii="Palatino Linotype" w:hAnsi="Palatino Linotype"/>
                <w:sz w:val="18"/>
                <w:szCs w:val="18"/>
              </w:rPr>
              <w:t xml:space="preserve">to: a </w:t>
            </w:r>
            <w:r w:rsidRPr="0070772A">
              <w:rPr>
                <w:rFonts w:ascii="Palatino Linotype" w:hAnsi="Palatino Linotype"/>
                <w:i/>
                <w:sz w:val="18"/>
                <w:szCs w:val="18"/>
              </w:rPr>
              <w:t>capstone</w:t>
            </w:r>
            <w:r w:rsidRPr="0070772A">
              <w:rPr>
                <w:rFonts w:ascii="Palatino Linotype" w:hAnsi="Palatino Linotype"/>
                <w:sz w:val="18"/>
                <w:szCs w:val="18"/>
              </w:rPr>
              <w:t>.</w:t>
            </w:r>
          </w:p>
        </w:tc>
        <w:tc>
          <w:tcPr>
            <w:tcW w:w="1392" w:type="pct"/>
            <w:tcBorders>
              <w:top w:val="single" w:sz="4" w:space="0" w:color="auto"/>
              <w:left w:val="single" w:sz="4" w:space="0" w:color="auto"/>
              <w:right w:val="single" w:sz="4" w:space="0" w:color="auto"/>
            </w:tcBorders>
            <w:shd w:val="clear" w:color="auto" w:fill="auto"/>
          </w:tcPr>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a) Demonstrações financei</w:t>
            </w:r>
            <w:r w:rsidR="001A1F8B" w:rsidRPr="0070772A">
              <w:rPr>
                <w:rFonts w:ascii="Palatino Linotype" w:hAnsi="Palatino Linotype"/>
                <w:sz w:val="18"/>
                <w:szCs w:val="18"/>
              </w:rPr>
              <w:softHyphen/>
            </w:r>
            <w:r w:rsidRPr="0070772A">
              <w:rPr>
                <w:rFonts w:ascii="Palatino Linotype" w:hAnsi="Palatino Linotype"/>
                <w:sz w:val="18"/>
                <w:szCs w:val="18"/>
              </w:rPr>
              <w:t>ras avançadas e contabili</w:t>
            </w:r>
            <w:r w:rsidR="001A1F8B" w:rsidRPr="0070772A">
              <w:rPr>
                <w:rFonts w:ascii="Palatino Linotype" w:hAnsi="Palatino Linotype"/>
                <w:sz w:val="18"/>
                <w:szCs w:val="18"/>
              </w:rPr>
              <w:softHyphen/>
            </w:r>
            <w:r w:rsidRPr="0070772A">
              <w:rPr>
                <w:rFonts w:ascii="Palatino Linotype" w:hAnsi="Palatino Linotype"/>
                <w:sz w:val="18"/>
                <w:szCs w:val="18"/>
              </w:rPr>
              <w:t>dade industrial;</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b) Contabilidade gerencial avançada;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c) Tributação avançada;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d) Direito empresarial avan</w:t>
            </w:r>
            <w:r w:rsidR="00F54D13" w:rsidRPr="0070772A">
              <w:rPr>
                <w:rFonts w:ascii="Palatino Linotype" w:hAnsi="Palatino Linotype"/>
                <w:sz w:val="18"/>
                <w:szCs w:val="18"/>
              </w:rPr>
              <w:softHyphen/>
            </w:r>
            <w:r w:rsidRPr="0070772A">
              <w:rPr>
                <w:rFonts w:ascii="Palatino Linotype" w:hAnsi="Palatino Linotype"/>
                <w:sz w:val="18"/>
                <w:szCs w:val="18"/>
              </w:rPr>
              <w:t>çado;</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e) Auditoria avançada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Finanças empresariais avan</w:t>
            </w:r>
            <w:r w:rsidR="00F54D13" w:rsidRPr="0070772A">
              <w:rPr>
                <w:rFonts w:ascii="Palatino Linotype" w:hAnsi="Palatino Linotype"/>
                <w:sz w:val="18"/>
                <w:szCs w:val="18"/>
              </w:rPr>
              <w:softHyphen/>
            </w:r>
            <w:r w:rsidRPr="0070772A">
              <w:rPr>
                <w:rFonts w:ascii="Palatino Linotype" w:hAnsi="Palatino Linotype"/>
                <w:sz w:val="18"/>
                <w:szCs w:val="18"/>
              </w:rPr>
              <w:t>çadas e administração finan</w:t>
            </w:r>
            <w:r w:rsidR="00F54D13" w:rsidRPr="0070772A">
              <w:rPr>
                <w:rFonts w:ascii="Palatino Linotype" w:hAnsi="Palatino Linotype"/>
                <w:sz w:val="18"/>
                <w:szCs w:val="18"/>
              </w:rPr>
              <w:softHyphen/>
            </w:r>
            <w:r w:rsidRPr="0070772A">
              <w:rPr>
                <w:rFonts w:ascii="Palatino Linotype" w:hAnsi="Palatino Linotype"/>
                <w:sz w:val="18"/>
                <w:szCs w:val="18"/>
              </w:rPr>
              <w:t>ceira;</w:t>
            </w:r>
          </w:p>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f) Estágio contábil.</w:t>
            </w:r>
          </w:p>
        </w:tc>
      </w:tr>
      <w:tr w:rsidR="0070772A" w:rsidRPr="0070772A" w:rsidTr="00796609">
        <w:tc>
          <w:tcPr>
            <w:tcW w:w="5000" w:type="pct"/>
            <w:gridSpan w:val="4"/>
            <w:tcBorders>
              <w:top w:val="single" w:sz="4" w:space="0" w:color="auto"/>
              <w:left w:val="nil"/>
              <w:bottom w:val="nil"/>
              <w:right w:val="nil"/>
            </w:tcBorders>
            <w:shd w:val="clear" w:color="auto" w:fill="auto"/>
          </w:tcPr>
          <w:p w:rsidR="0074145A" w:rsidRPr="0070772A" w:rsidRDefault="0074145A" w:rsidP="00BE160E">
            <w:pPr>
              <w:ind w:firstLine="0"/>
              <w:rPr>
                <w:rFonts w:ascii="Palatino Linotype" w:hAnsi="Palatino Linotype"/>
                <w:sz w:val="18"/>
                <w:szCs w:val="18"/>
              </w:rPr>
            </w:pPr>
            <w:r w:rsidRPr="0070772A">
              <w:rPr>
                <w:rFonts w:ascii="Palatino Linotype" w:hAnsi="Palatino Linotype"/>
                <w:sz w:val="18"/>
                <w:szCs w:val="18"/>
              </w:rPr>
              <w:t>Fonte: UNCTAD (2009)</w:t>
            </w:r>
          </w:p>
        </w:tc>
      </w:tr>
    </w:tbl>
    <w:p w:rsidR="0074145A" w:rsidRPr="0070772A" w:rsidRDefault="0074145A" w:rsidP="00BE160E">
      <w:pPr>
        <w:rPr>
          <w:rFonts w:ascii="Palatino Linotype" w:hAnsi="Palatino Linotype"/>
          <w:sz w:val="22"/>
        </w:rPr>
      </w:pPr>
    </w:p>
    <w:p w:rsidR="00F0679D" w:rsidRPr="009D3FAB" w:rsidRDefault="00F0679D" w:rsidP="00BE160E">
      <w:pPr>
        <w:rPr>
          <w:rFonts w:ascii="Palatino Linotype" w:hAnsi="Palatino Linotype"/>
          <w:sz w:val="22"/>
        </w:rPr>
      </w:pPr>
      <w:r w:rsidRPr="009D3FAB">
        <w:rPr>
          <w:rFonts w:ascii="Palatino Linotype" w:hAnsi="Palatino Linotype"/>
          <w:sz w:val="22"/>
        </w:rPr>
        <w:t xml:space="preserve">O Quadro 1 apresenta os 4 blocos de </w:t>
      </w:r>
      <w:r w:rsidR="00A23742" w:rsidRPr="009D3FAB">
        <w:rPr>
          <w:rFonts w:ascii="Palatino Linotype" w:hAnsi="Palatino Linotype"/>
          <w:sz w:val="22"/>
        </w:rPr>
        <w:t xml:space="preserve">conhecimento </w:t>
      </w:r>
      <w:r w:rsidRPr="009D3FAB">
        <w:rPr>
          <w:rFonts w:ascii="Palatino Linotype" w:hAnsi="Palatino Linotype"/>
          <w:sz w:val="22"/>
        </w:rPr>
        <w:t>que compõem as disciplinas propost</w:t>
      </w:r>
      <w:r w:rsidR="00A23742" w:rsidRPr="009D3FAB">
        <w:rPr>
          <w:rFonts w:ascii="Palatino Linotype" w:hAnsi="Palatino Linotype"/>
          <w:sz w:val="22"/>
        </w:rPr>
        <w:t>a</w:t>
      </w:r>
      <w:r w:rsidRPr="009D3FAB">
        <w:rPr>
          <w:rFonts w:ascii="Palatino Linotype" w:hAnsi="Palatino Linotype"/>
          <w:sz w:val="22"/>
        </w:rPr>
        <w:t>s pelo ISAR/UNCTAD</w:t>
      </w:r>
      <w:r w:rsidR="00A23742" w:rsidRPr="009D3FAB">
        <w:rPr>
          <w:rFonts w:ascii="Palatino Linotype" w:hAnsi="Palatino Linotype"/>
          <w:sz w:val="22"/>
        </w:rPr>
        <w:t xml:space="preserve"> para </w:t>
      </w:r>
      <w:r w:rsidRPr="009D3FAB">
        <w:rPr>
          <w:rFonts w:ascii="Palatino Linotype" w:hAnsi="Palatino Linotype"/>
          <w:sz w:val="22"/>
        </w:rPr>
        <w:t>o Currículo Mundial</w:t>
      </w:r>
      <w:r w:rsidR="00A23742" w:rsidRPr="009D3FAB">
        <w:rPr>
          <w:rFonts w:ascii="Palatino Linotype" w:hAnsi="Palatino Linotype"/>
          <w:sz w:val="22"/>
        </w:rPr>
        <w:t>, divididos em</w:t>
      </w:r>
      <w:r w:rsidRPr="009D3FAB">
        <w:rPr>
          <w:rFonts w:ascii="Palatino Linotype" w:hAnsi="Palatino Linotype"/>
          <w:sz w:val="22"/>
        </w:rPr>
        <w:t xml:space="preserve"> 23 módulos</w:t>
      </w:r>
      <w:r w:rsidR="00A23742" w:rsidRPr="009D3FAB">
        <w:rPr>
          <w:rFonts w:ascii="Palatino Linotype" w:hAnsi="Palatino Linotype"/>
          <w:sz w:val="22"/>
        </w:rPr>
        <w:t xml:space="preserve"> com disci</w:t>
      </w:r>
      <w:r w:rsidRPr="009D3FAB">
        <w:rPr>
          <w:rFonts w:ascii="Palatino Linotype" w:hAnsi="Palatino Linotype"/>
          <w:sz w:val="22"/>
        </w:rPr>
        <w:t>plinas espec</w:t>
      </w:r>
      <w:r w:rsidR="00B06399" w:rsidRPr="009D3FAB">
        <w:rPr>
          <w:rFonts w:ascii="Palatino Linotype" w:hAnsi="Palatino Linotype"/>
          <w:sz w:val="22"/>
        </w:rPr>
        <w:t>í</w:t>
      </w:r>
      <w:r w:rsidRPr="009D3FAB">
        <w:rPr>
          <w:rFonts w:ascii="Palatino Linotype" w:hAnsi="Palatino Linotype"/>
          <w:sz w:val="22"/>
        </w:rPr>
        <w:t xml:space="preserve">ficas </w:t>
      </w:r>
      <w:r w:rsidR="00A23742" w:rsidRPr="009D3FAB">
        <w:rPr>
          <w:rFonts w:ascii="Palatino Linotype" w:hAnsi="Palatino Linotype"/>
          <w:sz w:val="22"/>
        </w:rPr>
        <w:t xml:space="preserve">para </w:t>
      </w:r>
      <w:r w:rsidRPr="009D3FAB">
        <w:rPr>
          <w:rFonts w:ascii="Palatino Linotype" w:hAnsi="Palatino Linotype"/>
          <w:sz w:val="22"/>
        </w:rPr>
        <w:t>cada módulo (UNCTAD, 2009)</w:t>
      </w:r>
      <w:r w:rsidR="00024C7D" w:rsidRPr="009D3FAB">
        <w:rPr>
          <w:rFonts w:ascii="Palatino Linotype" w:hAnsi="Palatino Linotype"/>
          <w:sz w:val="22"/>
        </w:rPr>
        <w:t>.</w:t>
      </w:r>
    </w:p>
    <w:p w:rsidR="00F0679D" w:rsidRPr="009D3FAB" w:rsidRDefault="00F0679D" w:rsidP="00BE160E">
      <w:pPr>
        <w:rPr>
          <w:rFonts w:ascii="Palatino Linotype" w:hAnsi="Palatino Linotype"/>
          <w:sz w:val="22"/>
        </w:rPr>
      </w:pPr>
      <w:r w:rsidRPr="009D3FAB">
        <w:rPr>
          <w:rFonts w:ascii="Palatino Linotype" w:hAnsi="Palatino Linotype"/>
          <w:sz w:val="22"/>
        </w:rPr>
        <w:t>Magalhães e Andrade (2006)</w:t>
      </w:r>
      <w:r w:rsidR="00024C7D" w:rsidRPr="009D3FAB">
        <w:rPr>
          <w:rFonts w:ascii="Palatino Linotype" w:hAnsi="Palatino Linotype"/>
          <w:sz w:val="22"/>
        </w:rPr>
        <w:t xml:space="preserve"> ressaltam que o Currículo Mundial é um ponto</w:t>
      </w:r>
      <w:r w:rsidRPr="009D3FAB">
        <w:rPr>
          <w:rFonts w:ascii="Palatino Linotype" w:hAnsi="Palatino Linotype"/>
          <w:sz w:val="22"/>
        </w:rPr>
        <w:t xml:space="preserve"> </w:t>
      </w:r>
      <w:r w:rsidR="00024C7D" w:rsidRPr="009D3FAB">
        <w:rPr>
          <w:rFonts w:ascii="Palatino Linotype" w:hAnsi="Palatino Linotype"/>
          <w:sz w:val="22"/>
        </w:rPr>
        <w:t>inicial</w:t>
      </w:r>
      <w:r w:rsidRPr="009D3FAB">
        <w:rPr>
          <w:rFonts w:ascii="Palatino Linotype" w:hAnsi="Palatino Linotype"/>
          <w:sz w:val="22"/>
        </w:rPr>
        <w:t xml:space="preserve"> para </w:t>
      </w:r>
      <w:r w:rsidR="00024C7D" w:rsidRPr="009D3FAB">
        <w:rPr>
          <w:rFonts w:ascii="Palatino Linotype" w:hAnsi="Palatino Linotype"/>
          <w:sz w:val="22"/>
        </w:rPr>
        <w:t>aqueles</w:t>
      </w:r>
      <w:r w:rsidRPr="009D3FAB">
        <w:rPr>
          <w:rFonts w:ascii="Palatino Linotype" w:hAnsi="Palatino Linotype"/>
          <w:sz w:val="22"/>
        </w:rPr>
        <w:t xml:space="preserve"> países que </w:t>
      </w:r>
      <w:r w:rsidR="00024C7D" w:rsidRPr="009D3FAB">
        <w:rPr>
          <w:rFonts w:ascii="Palatino Linotype" w:hAnsi="Palatino Linotype"/>
          <w:sz w:val="22"/>
        </w:rPr>
        <w:t>desejam</w:t>
      </w:r>
      <w:r w:rsidRPr="009D3FAB">
        <w:rPr>
          <w:rFonts w:ascii="Palatino Linotype" w:hAnsi="Palatino Linotype"/>
          <w:sz w:val="22"/>
        </w:rPr>
        <w:t xml:space="preserve"> harmonizar </w:t>
      </w:r>
      <w:r w:rsidR="00024C7D" w:rsidRPr="009D3FAB">
        <w:rPr>
          <w:rFonts w:ascii="Palatino Linotype" w:hAnsi="Palatino Linotype"/>
          <w:sz w:val="22"/>
        </w:rPr>
        <w:t xml:space="preserve">o seu sistema de ensino com </w:t>
      </w:r>
      <w:r w:rsidR="007975A5" w:rsidRPr="009D3FAB">
        <w:rPr>
          <w:rFonts w:ascii="Palatino Linotype" w:hAnsi="Palatino Linotype"/>
          <w:sz w:val="22"/>
        </w:rPr>
        <w:t>os outros países</w:t>
      </w:r>
      <w:r w:rsidR="00024C7D" w:rsidRPr="009D3FAB">
        <w:rPr>
          <w:rFonts w:ascii="Palatino Linotype" w:hAnsi="Palatino Linotype"/>
          <w:sz w:val="22"/>
        </w:rPr>
        <w:t>.</w:t>
      </w:r>
      <w:r w:rsidRPr="009D3FAB">
        <w:rPr>
          <w:rFonts w:ascii="Palatino Linotype" w:hAnsi="Palatino Linotype"/>
          <w:sz w:val="22"/>
        </w:rPr>
        <w:t xml:space="preserve"> </w:t>
      </w:r>
      <w:r w:rsidR="007975A5" w:rsidRPr="009D3FAB">
        <w:rPr>
          <w:rFonts w:ascii="Palatino Linotype" w:hAnsi="Palatino Linotype"/>
          <w:sz w:val="22"/>
        </w:rPr>
        <w:t>Destaca-se que a ONU/UNCTAD/ISAR</w:t>
      </w:r>
      <w:r w:rsidR="00A23742" w:rsidRPr="009D3FAB">
        <w:rPr>
          <w:rFonts w:ascii="Palatino Linotype" w:hAnsi="Palatino Linotype"/>
          <w:sz w:val="22"/>
        </w:rPr>
        <w:t>,</w:t>
      </w:r>
      <w:r w:rsidR="007975A5" w:rsidRPr="009D3FAB">
        <w:rPr>
          <w:rFonts w:ascii="Palatino Linotype" w:hAnsi="Palatino Linotype"/>
          <w:sz w:val="22"/>
        </w:rPr>
        <w:t xml:space="preserve"> ao produzir os TD/B/COM.2/ISAR/5, TD/B/COM.2/ISAR/6 e TD/B/COM.2/ISAR/21</w:t>
      </w:r>
      <w:r w:rsidR="00A23742" w:rsidRPr="009D3FAB">
        <w:rPr>
          <w:rFonts w:ascii="Palatino Linotype" w:hAnsi="Palatino Linotype"/>
          <w:sz w:val="22"/>
        </w:rPr>
        <w:t>,</w:t>
      </w:r>
      <w:r w:rsidR="007975A5" w:rsidRPr="009D3FAB">
        <w:rPr>
          <w:rFonts w:ascii="Palatino Linotype" w:hAnsi="Palatino Linotype"/>
          <w:sz w:val="22"/>
        </w:rPr>
        <w:t xml:space="preserve"> objetivou preparar um programa mundial </w:t>
      </w:r>
      <w:r w:rsidR="00BA6CF6" w:rsidRPr="009D3FAB">
        <w:rPr>
          <w:rFonts w:ascii="Palatino Linotype" w:hAnsi="Palatino Linotype"/>
          <w:sz w:val="22"/>
        </w:rPr>
        <w:t>que servisse de referência</w:t>
      </w:r>
      <w:r w:rsidR="00A23742" w:rsidRPr="009D3FAB">
        <w:rPr>
          <w:rFonts w:ascii="Palatino Linotype" w:hAnsi="Palatino Linotype"/>
          <w:sz w:val="22"/>
        </w:rPr>
        <w:t xml:space="preserve"> para o ensino da Contabilidade</w:t>
      </w:r>
      <w:r w:rsidR="00BA6CF6" w:rsidRPr="009D3FAB">
        <w:rPr>
          <w:rFonts w:ascii="Palatino Linotype" w:hAnsi="Palatino Linotype"/>
          <w:sz w:val="22"/>
        </w:rPr>
        <w:t xml:space="preserve">, </w:t>
      </w:r>
      <w:r w:rsidR="00A23742" w:rsidRPr="009D3FAB">
        <w:rPr>
          <w:rFonts w:ascii="Palatino Linotype" w:hAnsi="Palatino Linotype"/>
          <w:sz w:val="22"/>
        </w:rPr>
        <w:t>auxiliando na</w:t>
      </w:r>
      <w:r w:rsidR="00BA6CF6" w:rsidRPr="009D3FAB">
        <w:rPr>
          <w:rFonts w:ascii="Palatino Linotype" w:hAnsi="Palatino Linotype"/>
          <w:sz w:val="22"/>
        </w:rPr>
        <w:t xml:space="preserve"> redução de tempo e </w:t>
      </w:r>
      <w:r w:rsidR="00A23742" w:rsidRPr="009D3FAB">
        <w:rPr>
          <w:rFonts w:ascii="Palatino Linotype" w:hAnsi="Palatino Linotype"/>
          <w:sz w:val="22"/>
        </w:rPr>
        <w:t xml:space="preserve">de </w:t>
      </w:r>
      <w:r w:rsidR="00BA6CF6" w:rsidRPr="009D3FAB">
        <w:rPr>
          <w:rFonts w:ascii="Palatino Linotype" w:hAnsi="Palatino Linotype"/>
          <w:sz w:val="22"/>
        </w:rPr>
        <w:t>custos de negociações para os reportes mútuos na área contábil (</w:t>
      </w:r>
      <w:r w:rsidRPr="009D3FAB">
        <w:rPr>
          <w:rFonts w:ascii="Palatino Linotype" w:hAnsi="Palatino Linotype"/>
          <w:sz w:val="22"/>
        </w:rPr>
        <w:t xml:space="preserve">UNCTAD, </w:t>
      </w:r>
      <w:r w:rsidR="007975A5" w:rsidRPr="009D3FAB">
        <w:rPr>
          <w:rFonts w:ascii="Palatino Linotype" w:hAnsi="Palatino Linotype"/>
          <w:sz w:val="22"/>
        </w:rPr>
        <w:t>2009</w:t>
      </w:r>
      <w:r w:rsidRPr="009D3FAB">
        <w:rPr>
          <w:rFonts w:ascii="Palatino Linotype" w:hAnsi="Palatino Linotype"/>
          <w:sz w:val="22"/>
        </w:rPr>
        <w:t>).</w:t>
      </w:r>
    </w:p>
    <w:p w:rsidR="00AB215E" w:rsidRPr="009D3FAB" w:rsidRDefault="00AB215E" w:rsidP="00BE160E">
      <w:pPr>
        <w:rPr>
          <w:rFonts w:ascii="Palatino Linotype" w:hAnsi="Palatino Linotype"/>
          <w:sz w:val="22"/>
        </w:rPr>
      </w:pPr>
      <w:r w:rsidRPr="009D3FAB">
        <w:rPr>
          <w:rFonts w:ascii="Palatino Linotype" w:hAnsi="Palatino Linotype"/>
          <w:sz w:val="22"/>
        </w:rPr>
        <w:t xml:space="preserve">O Currículo </w:t>
      </w:r>
      <w:r w:rsidR="006F1F66" w:rsidRPr="009D3FAB">
        <w:rPr>
          <w:rFonts w:ascii="Palatino Linotype" w:hAnsi="Palatino Linotype"/>
          <w:sz w:val="22"/>
        </w:rPr>
        <w:t>R</w:t>
      </w:r>
      <w:r w:rsidRPr="009D3FAB">
        <w:rPr>
          <w:rFonts w:ascii="Palatino Linotype" w:hAnsi="Palatino Linotype"/>
          <w:sz w:val="22"/>
        </w:rPr>
        <w:t>eferência</w:t>
      </w:r>
      <w:r w:rsidR="00835BED" w:rsidRPr="009D3FAB">
        <w:rPr>
          <w:rFonts w:ascii="Palatino Linotype" w:hAnsi="Palatino Linotype"/>
          <w:sz w:val="22"/>
        </w:rPr>
        <w:t xml:space="preserve"> ou Currículo Mundial</w:t>
      </w:r>
      <w:r w:rsidRPr="009D3FAB">
        <w:rPr>
          <w:rFonts w:ascii="Palatino Linotype" w:hAnsi="Palatino Linotype"/>
          <w:sz w:val="22"/>
        </w:rPr>
        <w:t xml:space="preserve"> é composto de duas categorias: a primeira, TD</w:t>
      </w:r>
      <w:r w:rsidR="00F53AB0" w:rsidRPr="009D3FAB">
        <w:rPr>
          <w:rFonts w:ascii="Palatino Linotype" w:hAnsi="Palatino Linotype"/>
          <w:sz w:val="22"/>
        </w:rPr>
        <w:t>/B/COM.2/ISAR/</w:t>
      </w:r>
      <w:r w:rsidRPr="009D3FAB">
        <w:rPr>
          <w:rFonts w:ascii="Palatino Linotype" w:hAnsi="Palatino Linotype"/>
          <w:sz w:val="22"/>
        </w:rPr>
        <w:t xml:space="preserve">5, é um guia para sistemas nacionais de qualificação de contadores; a segunda, </w:t>
      </w:r>
      <w:r w:rsidR="00F53AB0" w:rsidRPr="009D3FAB">
        <w:rPr>
          <w:rFonts w:ascii="Palatino Linotype" w:hAnsi="Palatino Linotype"/>
          <w:sz w:val="22"/>
        </w:rPr>
        <w:t>TD/B/COM.2/ISAR/6</w:t>
      </w:r>
      <w:r w:rsidRPr="009D3FAB">
        <w:rPr>
          <w:rFonts w:ascii="Palatino Linotype" w:hAnsi="Palatino Linotype"/>
          <w:sz w:val="22"/>
        </w:rPr>
        <w:t>, é composta por um conjunto de áreas do conhecimento necessárias para a educação profissional dos contadores. Assim, o modelo de plano de estudos publicado pelo TD/B/COM.2/ISAR/6 em 1999</w:t>
      </w:r>
      <w:r w:rsidR="002C22EE" w:rsidRPr="009D3FAB">
        <w:rPr>
          <w:rFonts w:ascii="Palatino Linotype" w:hAnsi="Palatino Linotype"/>
          <w:sz w:val="22"/>
        </w:rPr>
        <w:t xml:space="preserve"> foi revisado em 2003 com o do</w:t>
      </w:r>
      <w:r w:rsidRPr="009D3FAB">
        <w:rPr>
          <w:rFonts w:ascii="Palatino Linotype" w:hAnsi="Palatino Linotype"/>
          <w:sz w:val="22"/>
        </w:rPr>
        <w:t xml:space="preserve">cumento </w:t>
      </w:r>
      <w:r w:rsidRPr="009D3FAB">
        <w:rPr>
          <w:rFonts w:ascii="Palatino Linotype" w:hAnsi="Palatino Linotype"/>
          <w:iCs/>
          <w:sz w:val="22"/>
        </w:rPr>
        <w:t xml:space="preserve">Revised Model Accounting Curriculum </w:t>
      </w:r>
      <w:r w:rsidRPr="009D3FAB">
        <w:rPr>
          <w:rFonts w:ascii="Palatino Linotype" w:hAnsi="Palatino Linotype"/>
          <w:sz w:val="22"/>
        </w:rPr>
        <w:t>(MC), o qual descreve de forma detalhada os c</w:t>
      </w:r>
      <w:r w:rsidR="002C22EE" w:rsidRPr="009D3FAB">
        <w:rPr>
          <w:rFonts w:ascii="Palatino Linotype" w:hAnsi="Palatino Linotype"/>
          <w:sz w:val="22"/>
        </w:rPr>
        <w:t>onteú</w:t>
      </w:r>
      <w:r w:rsidRPr="009D3FAB">
        <w:rPr>
          <w:rFonts w:ascii="Palatino Linotype" w:hAnsi="Palatino Linotype"/>
          <w:sz w:val="22"/>
        </w:rPr>
        <w:t>dos de cada um dos blocos de conhecimento (ERFURTH; DOMINGUES, 2008).</w:t>
      </w:r>
    </w:p>
    <w:p w:rsidR="009C102F" w:rsidRPr="009D3FAB" w:rsidRDefault="00D53562" w:rsidP="00BE160E">
      <w:pPr>
        <w:rPr>
          <w:rFonts w:ascii="Palatino Linotype" w:hAnsi="Palatino Linotype"/>
          <w:sz w:val="22"/>
        </w:rPr>
      </w:pPr>
      <w:r w:rsidRPr="009D3FAB">
        <w:rPr>
          <w:rFonts w:ascii="Palatino Linotype" w:hAnsi="Palatino Linotype"/>
          <w:sz w:val="22"/>
        </w:rPr>
        <w:t xml:space="preserve">A proposta principal desse documento, segundo </w:t>
      </w:r>
      <w:proofErr w:type="spellStart"/>
      <w:r w:rsidR="00113F28" w:rsidRPr="009D3FAB">
        <w:rPr>
          <w:rFonts w:ascii="Palatino Linotype" w:hAnsi="Palatino Linotype"/>
          <w:sz w:val="22"/>
        </w:rPr>
        <w:t>Czesnat</w:t>
      </w:r>
      <w:proofErr w:type="spellEnd"/>
      <w:r w:rsidR="00113F28" w:rsidRPr="009D3FAB">
        <w:rPr>
          <w:rFonts w:ascii="Palatino Linotype" w:hAnsi="Palatino Linotype"/>
          <w:sz w:val="22"/>
        </w:rPr>
        <w:t>, Cunha e Domingues (2009)</w:t>
      </w:r>
      <w:r w:rsidRPr="009D3FAB">
        <w:rPr>
          <w:rFonts w:ascii="Palatino Linotype" w:hAnsi="Palatino Linotype"/>
          <w:sz w:val="22"/>
        </w:rPr>
        <w:t>, é servir como base para as instituições de ensino superior formular</w:t>
      </w:r>
      <w:r w:rsidR="006F1F66" w:rsidRPr="009D3FAB">
        <w:rPr>
          <w:rFonts w:ascii="Palatino Linotype" w:hAnsi="Palatino Linotype"/>
          <w:sz w:val="22"/>
        </w:rPr>
        <w:t>em</w:t>
      </w:r>
      <w:r w:rsidRPr="009D3FAB">
        <w:rPr>
          <w:rFonts w:ascii="Palatino Linotype" w:hAnsi="Palatino Linotype"/>
          <w:sz w:val="22"/>
        </w:rPr>
        <w:t xml:space="preserve"> os seus currículos, buscando uma uniformização dos estudos de Contabilidade, ou seja, a ISAR propôs uma estrutura curricular mundial para orientar as instituições de ensino superior a desenvolver planos de estudos semelhantes, favorecendo um ensino em Contabilidade </w:t>
      </w:r>
      <w:r w:rsidR="00A23742" w:rsidRPr="009D3FAB">
        <w:rPr>
          <w:rFonts w:ascii="Palatino Linotype" w:hAnsi="Palatino Linotype"/>
          <w:sz w:val="22"/>
        </w:rPr>
        <w:t xml:space="preserve">em âmbito </w:t>
      </w:r>
      <w:r w:rsidRPr="009D3FAB">
        <w:rPr>
          <w:rFonts w:ascii="Palatino Linotype" w:hAnsi="Palatino Linotype"/>
          <w:sz w:val="22"/>
        </w:rPr>
        <w:t>mundial.</w:t>
      </w:r>
    </w:p>
    <w:p w:rsidR="00143172" w:rsidRPr="009D3FAB" w:rsidRDefault="00143172" w:rsidP="00BE160E">
      <w:pPr>
        <w:rPr>
          <w:rFonts w:ascii="Palatino Linotype" w:hAnsi="Palatino Linotype"/>
          <w:sz w:val="22"/>
        </w:rPr>
      </w:pPr>
      <w:r w:rsidRPr="009D3FAB">
        <w:rPr>
          <w:rFonts w:ascii="Palatino Linotype" w:hAnsi="Palatino Linotype"/>
          <w:sz w:val="22"/>
        </w:rPr>
        <w:t xml:space="preserve">Conforme UNCTAD/ISAR (2003) o currículo teve seu surgimento com a finalidade de regular a comunidade internacional sobre os assuntos que um ano de uma IES necessite para que se torne um profissional na área de contabilidade. </w:t>
      </w:r>
      <w:r w:rsidR="00D51D1D" w:rsidRPr="009D3FAB">
        <w:rPr>
          <w:rFonts w:ascii="Palatino Linotype" w:hAnsi="Palatino Linotype"/>
          <w:sz w:val="22"/>
        </w:rPr>
        <w:t xml:space="preserve">Desta forma os autores </w:t>
      </w:r>
      <w:proofErr w:type="spellStart"/>
      <w:r w:rsidR="00D51D1D" w:rsidRPr="009D3FAB">
        <w:rPr>
          <w:rFonts w:ascii="Palatino Linotype" w:hAnsi="Palatino Linotype"/>
          <w:sz w:val="22"/>
        </w:rPr>
        <w:t>Riccio</w:t>
      </w:r>
      <w:proofErr w:type="spellEnd"/>
      <w:r w:rsidR="00D51D1D" w:rsidRPr="009D3FAB">
        <w:rPr>
          <w:rFonts w:ascii="Palatino Linotype" w:hAnsi="Palatino Linotype"/>
          <w:sz w:val="22"/>
        </w:rPr>
        <w:t xml:space="preserve"> e </w:t>
      </w:r>
      <w:proofErr w:type="spellStart"/>
      <w:r w:rsidR="00D51D1D" w:rsidRPr="009D3FAB">
        <w:rPr>
          <w:rFonts w:ascii="Palatino Linotype" w:hAnsi="Palatino Linotype"/>
          <w:sz w:val="22"/>
        </w:rPr>
        <w:t>Sakata</w:t>
      </w:r>
      <w:proofErr w:type="spellEnd"/>
      <w:r w:rsidR="00D51D1D" w:rsidRPr="009D3FAB">
        <w:rPr>
          <w:rFonts w:ascii="Palatino Linotype" w:hAnsi="Palatino Linotype"/>
          <w:sz w:val="22"/>
        </w:rPr>
        <w:t xml:space="preserve"> (2004) destacam que a proposta que a UNCTAD de um currículo com temas a serem abordados, tende a ser o mínimo de um IES abordar em seu currículo. </w:t>
      </w:r>
    </w:p>
    <w:p w:rsidR="00143172" w:rsidRPr="009D3FAB" w:rsidRDefault="00D51D1D" w:rsidP="00BE160E">
      <w:pPr>
        <w:rPr>
          <w:rFonts w:ascii="Palatino Linotype" w:hAnsi="Palatino Linotype"/>
          <w:sz w:val="22"/>
        </w:rPr>
      </w:pPr>
      <w:r w:rsidRPr="009D3FAB">
        <w:rPr>
          <w:rFonts w:ascii="Palatino Linotype" w:hAnsi="Palatino Linotype"/>
          <w:sz w:val="22"/>
        </w:rPr>
        <w:t>E que segundo a UNCTAD (2009) o currículo apresentado por eles, tem como objetivo de criar um ponto de referência para uma qualificação da profissão de contabilidade, o que reflete em um melhor profissional para um mercado globalizado.</w:t>
      </w:r>
    </w:p>
    <w:p w:rsidR="00A705A5" w:rsidRPr="0070772A" w:rsidRDefault="00A705A5" w:rsidP="00BE160E">
      <w:pPr>
        <w:rPr>
          <w:rFonts w:ascii="Palatino Linotype" w:hAnsi="Palatino Linotype"/>
          <w:sz w:val="22"/>
        </w:rPr>
      </w:pPr>
    </w:p>
    <w:p w:rsidR="009C102F" w:rsidRPr="0070772A" w:rsidRDefault="00EC5BBB" w:rsidP="00FE7B0E">
      <w:pPr>
        <w:pStyle w:val="Ttulo2"/>
        <w:spacing w:before="0"/>
        <w:ind w:left="0" w:firstLine="0"/>
        <w:rPr>
          <w:rFonts w:ascii="Palatino Linotype" w:hAnsi="Palatino Linotype"/>
          <w:sz w:val="22"/>
          <w:szCs w:val="22"/>
        </w:rPr>
      </w:pPr>
      <w:r w:rsidRPr="0070772A">
        <w:rPr>
          <w:rFonts w:ascii="Palatino Linotype" w:hAnsi="Palatino Linotype"/>
          <w:sz w:val="22"/>
          <w:szCs w:val="22"/>
        </w:rPr>
        <w:t xml:space="preserve">Estudos </w:t>
      </w:r>
      <w:r w:rsidR="001558A1" w:rsidRPr="0070772A">
        <w:rPr>
          <w:rFonts w:ascii="Palatino Linotype" w:hAnsi="Palatino Linotype"/>
          <w:sz w:val="22"/>
          <w:szCs w:val="22"/>
        </w:rPr>
        <w:t>Relacionados</w:t>
      </w:r>
    </w:p>
    <w:p w:rsidR="00733C78" w:rsidRPr="009D3FAB" w:rsidRDefault="00EE2CCD" w:rsidP="00BE160E">
      <w:pPr>
        <w:autoSpaceDE w:val="0"/>
        <w:autoSpaceDN w:val="0"/>
        <w:adjustRightInd w:val="0"/>
        <w:rPr>
          <w:rFonts w:ascii="Palatino Linotype" w:hAnsi="Palatino Linotype"/>
          <w:sz w:val="22"/>
        </w:rPr>
      </w:pPr>
      <w:r w:rsidRPr="009D3FAB">
        <w:rPr>
          <w:rFonts w:ascii="Palatino Linotype" w:hAnsi="Palatino Linotype"/>
          <w:sz w:val="22"/>
        </w:rPr>
        <w:t>Diversos estudos têm</w:t>
      </w:r>
      <w:r w:rsidR="006F1F66" w:rsidRPr="009D3FAB">
        <w:rPr>
          <w:rFonts w:ascii="Palatino Linotype" w:hAnsi="Palatino Linotype"/>
          <w:sz w:val="22"/>
        </w:rPr>
        <w:t xml:space="preserve"> sido desenvolvidos sobre a convergência das </w:t>
      </w:r>
      <w:r w:rsidR="00835BED" w:rsidRPr="009D3FAB">
        <w:rPr>
          <w:rFonts w:ascii="Palatino Linotype" w:hAnsi="Palatino Linotype"/>
          <w:sz w:val="22"/>
        </w:rPr>
        <w:t>matrizes curriculares</w:t>
      </w:r>
      <w:r w:rsidR="006F1F66" w:rsidRPr="009D3FAB">
        <w:rPr>
          <w:rFonts w:ascii="Palatino Linotype" w:hAnsi="Palatino Linotype"/>
          <w:sz w:val="22"/>
        </w:rPr>
        <w:t xml:space="preserve"> dos cursos de Ciências Contábeis ao modelo proposto pela ONU/UNCTAD/ISAR, </w:t>
      </w:r>
      <w:r w:rsidR="00733C78" w:rsidRPr="009D3FAB">
        <w:rPr>
          <w:rFonts w:ascii="Palatino Linotype" w:hAnsi="Palatino Linotype"/>
          <w:sz w:val="22"/>
        </w:rPr>
        <w:t xml:space="preserve">podendo-se citar os de </w:t>
      </w:r>
      <w:r w:rsidR="006F1F66" w:rsidRPr="009D3FAB">
        <w:rPr>
          <w:rFonts w:ascii="Palatino Linotype" w:hAnsi="Palatino Linotype"/>
          <w:sz w:val="22"/>
        </w:rPr>
        <w:t xml:space="preserve">Riccio e Sakata (2004), Erfuth e Domingues (2008, 2013), </w:t>
      </w:r>
      <w:proofErr w:type="spellStart"/>
      <w:r w:rsidR="00113F28" w:rsidRPr="009D3FAB">
        <w:rPr>
          <w:rFonts w:ascii="Palatino Linotype" w:hAnsi="Palatino Linotype"/>
          <w:sz w:val="22"/>
        </w:rPr>
        <w:t>Czesnat</w:t>
      </w:r>
      <w:proofErr w:type="spellEnd"/>
      <w:r w:rsidR="00113F28" w:rsidRPr="009D3FAB">
        <w:rPr>
          <w:rFonts w:ascii="Palatino Linotype" w:hAnsi="Palatino Linotype"/>
          <w:sz w:val="22"/>
        </w:rPr>
        <w:t>, Cunha e Domingues (2009)</w:t>
      </w:r>
      <w:r w:rsidR="006F1F66" w:rsidRPr="009D3FAB">
        <w:rPr>
          <w:rFonts w:ascii="Palatino Linotype" w:hAnsi="Palatino Linotype"/>
          <w:sz w:val="22"/>
        </w:rPr>
        <w:t xml:space="preserve">, Santos </w:t>
      </w:r>
      <w:r w:rsidR="009117C8" w:rsidRPr="009D3FAB">
        <w:rPr>
          <w:rFonts w:ascii="Palatino Linotype" w:hAnsi="Palatino Linotype"/>
          <w:sz w:val="22"/>
        </w:rPr>
        <w:t>et al.</w:t>
      </w:r>
      <w:r w:rsidR="006F1F66" w:rsidRPr="009D3FAB">
        <w:rPr>
          <w:rFonts w:ascii="Palatino Linotype" w:hAnsi="Palatino Linotype"/>
          <w:sz w:val="22"/>
        </w:rPr>
        <w:t xml:space="preserve"> (2013), Cavalcanti (2013) e Segantini </w:t>
      </w:r>
      <w:r w:rsidR="009117C8" w:rsidRPr="009D3FAB">
        <w:rPr>
          <w:rFonts w:ascii="Palatino Linotype" w:hAnsi="Palatino Linotype"/>
          <w:sz w:val="22"/>
        </w:rPr>
        <w:t>et al.</w:t>
      </w:r>
      <w:r w:rsidR="006F1F66" w:rsidRPr="009D3FAB">
        <w:rPr>
          <w:rFonts w:ascii="Palatino Linotype" w:hAnsi="Palatino Linotype"/>
          <w:sz w:val="22"/>
        </w:rPr>
        <w:t xml:space="preserve"> (2013).</w:t>
      </w:r>
    </w:p>
    <w:p w:rsidR="00733C78" w:rsidRPr="009D3FAB" w:rsidRDefault="009C102F" w:rsidP="00BE160E">
      <w:pPr>
        <w:autoSpaceDE w:val="0"/>
        <w:autoSpaceDN w:val="0"/>
        <w:adjustRightInd w:val="0"/>
        <w:rPr>
          <w:rFonts w:ascii="Palatino Linotype" w:hAnsi="Palatino Linotype"/>
          <w:sz w:val="22"/>
        </w:rPr>
      </w:pPr>
      <w:r w:rsidRPr="009D3FAB">
        <w:rPr>
          <w:rFonts w:ascii="Palatino Linotype" w:hAnsi="Palatino Linotype"/>
          <w:sz w:val="22"/>
        </w:rPr>
        <w:t>Riccio</w:t>
      </w:r>
      <w:r w:rsidR="006F1F66" w:rsidRPr="009D3FAB">
        <w:rPr>
          <w:rFonts w:ascii="Palatino Linotype" w:hAnsi="Palatino Linotype"/>
          <w:sz w:val="22"/>
        </w:rPr>
        <w:t xml:space="preserve"> e</w:t>
      </w:r>
      <w:r w:rsidRPr="009D3FAB">
        <w:rPr>
          <w:rFonts w:ascii="Palatino Linotype" w:hAnsi="Palatino Linotype"/>
          <w:sz w:val="22"/>
        </w:rPr>
        <w:t xml:space="preserve"> Sakata (2004)</w:t>
      </w:r>
      <w:r w:rsidR="006F1F66" w:rsidRPr="009D3FAB">
        <w:rPr>
          <w:rFonts w:ascii="Palatino Linotype" w:hAnsi="Palatino Linotype"/>
          <w:sz w:val="22"/>
        </w:rPr>
        <w:t xml:space="preserve"> p</w:t>
      </w:r>
      <w:r w:rsidRPr="009D3FAB">
        <w:rPr>
          <w:rFonts w:ascii="Palatino Linotype" w:hAnsi="Palatino Linotype"/>
          <w:sz w:val="22"/>
        </w:rPr>
        <w:t xml:space="preserve">esquisaram as evidências da </w:t>
      </w:r>
      <w:r w:rsidR="00733C78" w:rsidRPr="009D3FAB">
        <w:rPr>
          <w:rFonts w:ascii="Palatino Linotype" w:hAnsi="Palatino Linotype"/>
          <w:sz w:val="22"/>
        </w:rPr>
        <w:t>g</w:t>
      </w:r>
      <w:r w:rsidRPr="009D3FAB">
        <w:rPr>
          <w:rFonts w:ascii="Palatino Linotype" w:hAnsi="Palatino Linotype"/>
          <w:sz w:val="22"/>
        </w:rPr>
        <w:t xml:space="preserve">lobalização na </w:t>
      </w:r>
      <w:r w:rsidR="00733C78" w:rsidRPr="009D3FAB">
        <w:rPr>
          <w:rFonts w:ascii="Palatino Linotype" w:hAnsi="Palatino Linotype"/>
          <w:sz w:val="22"/>
        </w:rPr>
        <w:t>educação contábil.</w:t>
      </w:r>
      <w:r w:rsidRPr="009D3FAB">
        <w:rPr>
          <w:rFonts w:ascii="Palatino Linotype" w:hAnsi="Palatino Linotype"/>
          <w:sz w:val="22"/>
        </w:rPr>
        <w:t xml:space="preserve"> </w:t>
      </w:r>
      <w:r w:rsidR="00733C78" w:rsidRPr="009D3FAB">
        <w:rPr>
          <w:rFonts w:ascii="Palatino Linotype" w:hAnsi="Palatino Linotype"/>
          <w:sz w:val="22"/>
        </w:rPr>
        <w:t>A</w:t>
      </w:r>
      <w:r w:rsidRPr="009D3FAB">
        <w:rPr>
          <w:rFonts w:ascii="Palatino Linotype" w:hAnsi="Palatino Linotype"/>
          <w:sz w:val="22"/>
        </w:rPr>
        <w:t xml:space="preserve"> população do estudo foi formada por 142 </w:t>
      </w:r>
      <w:r w:rsidR="00733C78" w:rsidRPr="009D3FAB">
        <w:rPr>
          <w:rFonts w:ascii="Palatino Linotype" w:hAnsi="Palatino Linotype"/>
          <w:sz w:val="22"/>
        </w:rPr>
        <w:t>u</w:t>
      </w:r>
      <w:r w:rsidRPr="009D3FAB">
        <w:rPr>
          <w:rFonts w:ascii="Palatino Linotype" w:hAnsi="Palatino Linotype"/>
          <w:sz w:val="22"/>
        </w:rPr>
        <w:t xml:space="preserve">niversidades no Brasil e 60 </w:t>
      </w:r>
      <w:r w:rsidR="00733C78" w:rsidRPr="009D3FAB">
        <w:rPr>
          <w:rFonts w:ascii="Palatino Linotype" w:hAnsi="Palatino Linotype"/>
          <w:sz w:val="22"/>
        </w:rPr>
        <w:t>u</w:t>
      </w:r>
      <w:r w:rsidRPr="009D3FAB">
        <w:rPr>
          <w:rFonts w:ascii="Palatino Linotype" w:hAnsi="Palatino Linotype"/>
          <w:sz w:val="22"/>
        </w:rPr>
        <w:t xml:space="preserve">niversidades e Institutos em Portugal. A amostra compreendeu 25 cursos de Contabilidade em </w:t>
      </w:r>
      <w:r w:rsidR="00733C78" w:rsidRPr="009D3FAB">
        <w:rPr>
          <w:rFonts w:ascii="Palatino Linotype" w:hAnsi="Palatino Linotype"/>
          <w:sz w:val="22"/>
        </w:rPr>
        <w:t>u</w:t>
      </w:r>
      <w:r w:rsidRPr="009D3FAB">
        <w:rPr>
          <w:rFonts w:ascii="Palatino Linotype" w:hAnsi="Palatino Linotype"/>
          <w:sz w:val="22"/>
        </w:rPr>
        <w:t xml:space="preserve">niversidades e </w:t>
      </w:r>
      <w:r w:rsidR="00733C78" w:rsidRPr="009D3FAB">
        <w:rPr>
          <w:rFonts w:ascii="Palatino Linotype" w:hAnsi="Palatino Linotype"/>
          <w:sz w:val="22"/>
        </w:rPr>
        <w:t>f</w:t>
      </w:r>
      <w:r w:rsidRPr="009D3FAB">
        <w:rPr>
          <w:rFonts w:ascii="Palatino Linotype" w:hAnsi="Palatino Linotype"/>
          <w:sz w:val="22"/>
        </w:rPr>
        <w:t xml:space="preserve">aculdades do Brasil e 25 cursos de Contabilidade ou área relacionada em </w:t>
      </w:r>
      <w:r w:rsidR="00733C78" w:rsidRPr="009D3FAB">
        <w:rPr>
          <w:rFonts w:ascii="Palatino Linotype" w:hAnsi="Palatino Linotype"/>
          <w:sz w:val="22"/>
        </w:rPr>
        <w:t>u</w:t>
      </w:r>
      <w:r w:rsidRPr="009D3FAB">
        <w:rPr>
          <w:rFonts w:ascii="Palatino Linotype" w:hAnsi="Palatino Linotype"/>
          <w:sz w:val="22"/>
        </w:rPr>
        <w:t xml:space="preserve">niversidades e </w:t>
      </w:r>
      <w:r w:rsidR="00733C78" w:rsidRPr="009D3FAB">
        <w:rPr>
          <w:rFonts w:ascii="Palatino Linotype" w:hAnsi="Palatino Linotype"/>
          <w:sz w:val="22"/>
        </w:rPr>
        <w:t>i</w:t>
      </w:r>
      <w:r w:rsidRPr="009D3FAB">
        <w:rPr>
          <w:rFonts w:ascii="Palatino Linotype" w:hAnsi="Palatino Linotype"/>
          <w:sz w:val="22"/>
        </w:rPr>
        <w:t xml:space="preserve">nstituições de </w:t>
      </w:r>
      <w:r w:rsidR="00733C78" w:rsidRPr="009D3FAB">
        <w:rPr>
          <w:rFonts w:ascii="Palatino Linotype" w:hAnsi="Palatino Linotype"/>
          <w:sz w:val="22"/>
        </w:rPr>
        <w:t>e</w:t>
      </w:r>
      <w:r w:rsidRPr="009D3FAB">
        <w:rPr>
          <w:rFonts w:ascii="Palatino Linotype" w:hAnsi="Palatino Linotype"/>
          <w:sz w:val="22"/>
        </w:rPr>
        <w:t xml:space="preserve">nsino de Portugal. </w:t>
      </w:r>
    </w:p>
    <w:p w:rsidR="00733C78" w:rsidRPr="009D3FAB" w:rsidRDefault="009C102F" w:rsidP="00BE160E">
      <w:pPr>
        <w:autoSpaceDE w:val="0"/>
        <w:autoSpaceDN w:val="0"/>
        <w:adjustRightInd w:val="0"/>
        <w:rPr>
          <w:rFonts w:ascii="Palatino Linotype" w:hAnsi="Palatino Linotype"/>
          <w:sz w:val="22"/>
        </w:rPr>
      </w:pPr>
      <w:r w:rsidRPr="009D3FAB">
        <w:rPr>
          <w:rFonts w:ascii="Palatino Linotype" w:hAnsi="Palatino Linotype"/>
          <w:sz w:val="22"/>
        </w:rPr>
        <w:t xml:space="preserve">No geral, </w:t>
      </w:r>
      <w:r w:rsidR="00733C78" w:rsidRPr="009D3FAB">
        <w:rPr>
          <w:rFonts w:ascii="Palatino Linotype" w:hAnsi="Palatino Linotype"/>
          <w:sz w:val="22"/>
        </w:rPr>
        <w:t xml:space="preserve">os resultados do estudo apontam que </w:t>
      </w:r>
      <w:r w:rsidRPr="009D3FAB">
        <w:rPr>
          <w:rFonts w:ascii="Palatino Linotype" w:hAnsi="Palatino Linotype"/>
          <w:sz w:val="22"/>
        </w:rPr>
        <w:t xml:space="preserve">as </w:t>
      </w:r>
      <w:r w:rsidR="00733C78" w:rsidRPr="009D3FAB">
        <w:rPr>
          <w:rFonts w:ascii="Palatino Linotype" w:hAnsi="Palatino Linotype"/>
          <w:sz w:val="22"/>
        </w:rPr>
        <w:t>universidades brasileiras</w:t>
      </w:r>
      <w:r w:rsidRPr="009D3FAB">
        <w:rPr>
          <w:rFonts w:ascii="Palatino Linotype" w:hAnsi="Palatino Linotype"/>
          <w:sz w:val="22"/>
        </w:rPr>
        <w:t xml:space="preserve"> estão mais próximas do modelo </w:t>
      </w:r>
      <w:r w:rsidR="00733C78" w:rsidRPr="009D3FAB">
        <w:rPr>
          <w:rFonts w:ascii="Palatino Linotype" w:hAnsi="Palatino Linotype"/>
          <w:sz w:val="22"/>
        </w:rPr>
        <w:t xml:space="preserve">internacional do </w:t>
      </w:r>
      <w:r w:rsidRPr="009D3FAB">
        <w:rPr>
          <w:rFonts w:ascii="Palatino Linotype" w:hAnsi="Palatino Linotype"/>
          <w:sz w:val="22"/>
        </w:rPr>
        <w:t xml:space="preserve">que as </w:t>
      </w:r>
      <w:r w:rsidR="00733C78" w:rsidRPr="009D3FAB">
        <w:rPr>
          <w:rFonts w:ascii="Palatino Linotype" w:hAnsi="Palatino Linotype"/>
          <w:sz w:val="22"/>
        </w:rPr>
        <w:t>p</w:t>
      </w:r>
      <w:r w:rsidRPr="009D3FAB">
        <w:rPr>
          <w:rFonts w:ascii="Palatino Linotype" w:hAnsi="Palatino Linotype"/>
          <w:sz w:val="22"/>
        </w:rPr>
        <w:t xml:space="preserve">ortuguesas. Algumas </w:t>
      </w:r>
      <w:r w:rsidR="00733C78" w:rsidRPr="009D3FAB">
        <w:rPr>
          <w:rFonts w:ascii="Palatino Linotype" w:hAnsi="Palatino Linotype"/>
          <w:sz w:val="22"/>
        </w:rPr>
        <w:t>universidades/instituições</w:t>
      </w:r>
      <w:r w:rsidRPr="009D3FAB">
        <w:rPr>
          <w:rFonts w:ascii="Palatino Linotype" w:hAnsi="Palatino Linotype"/>
          <w:sz w:val="22"/>
        </w:rPr>
        <w:t>, em particular, mostra</w:t>
      </w:r>
      <w:r w:rsidR="00733C78" w:rsidRPr="009D3FAB">
        <w:rPr>
          <w:rFonts w:ascii="Palatino Linotype" w:hAnsi="Palatino Linotype"/>
          <w:sz w:val="22"/>
        </w:rPr>
        <w:t>ra</w:t>
      </w:r>
      <w:r w:rsidRPr="009D3FAB">
        <w:rPr>
          <w:rFonts w:ascii="Palatino Linotype" w:hAnsi="Palatino Linotype"/>
          <w:sz w:val="22"/>
        </w:rPr>
        <w:t>m-se muito afastadas do modelo do ISAR/UNCTAD</w:t>
      </w:r>
      <w:r w:rsidR="00733C78" w:rsidRPr="009D3FAB">
        <w:rPr>
          <w:rFonts w:ascii="Palatino Linotype" w:hAnsi="Palatino Linotype"/>
          <w:sz w:val="22"/>
        </w:rPr>
        <w:t>. Os autores p</w:t>
      </w:r>
      <w:r w:rsidRPr="009D3FAB">
        <w:rPr>
          <w:rFonts w:ascii="Palatino Linotype" w:hAnsi="Palatino Linotype"/>
          <w:sz w:val="22"/>
        </w:rPr>
        <w:t>ercebe</w:t>
      </w:r>
      <w:r w:rsidR="00733C78" w:rsidRPr="009D3FAB">
        <w:rPr>
          <w:rFonts w:ascii="Palatino Linotype" w:hAnsi="Palatino Linotype"/>
          <w:sz w:val="22"/>
        </w:rPr>
        <w:t xml:space="preserve">ram </w:t>
      </w:r>
      <w:r w:rsidRPr="009D3FAB">
        <w:rPr>
          <w:rFonts w:ascii="Palatino Linotype" w:hAnsi="Palatino Linotype"/>
          <w:sz w:val="22"/>
        </w:rPr>
        <w:t>que o Bloco de Conhecimentos Administrativos e Organizacionais, tanto no Brasil como em Portugal</w:t>
      </w:r>
      <w:r w:rsidR="00733C78" w:rsidRPr="009D3FAB">
        <w:rPr>
          <w:rFonts w:ascii="Palatino Linotype" w:hAnsi="Palatino Linotype"/>
          <w:sz w:val="22"/>
        </w:rPr>
        <w:t>,</w:t>
      </w:r>
      <w:r w:rsidRPr="009D3FAB">
        <w:rPr>
          <w:rFonts w:ascii="Palatino Linotype" w:hAnsi="Palatino Linotype"/>
          <w:sz w:val="22"/>
        </w:rPr>
        <w:t xml:space="preserve"> </w:t>
      </w:r>
      <w:r w:rsidR="00733C78" w:rsidRPr="009D3FAB">
        <w:rPr>
          <w:rFonts w:ascii="Palatino Linotype" w:hAnsi="Palatino Linotype"/>
          <w:sz w:val="22"/>
        </w:rPr>
        <w:t>foi</w:t>
      </w:r>
      <w:r w:rsidRPr="009D3FAB">
        <w:rPr>
          <w:rFonts w:ascii="Palatino Linotype" w:hAnsi="Palatino Linotype"/>
          <w:sz w:val="22"/>
        </w:rPr>
        <w:t xml:space="preserve"> o que apresentou maior aproximação. O que mais se distanciou foi o bloco de Conhecimentos Gerais. Outra característica notada nos resultados </w:t>
      </w:r>
      <w:r w:rsidR="00733C78" w:rsidRPr="009D3FAB">
        <w:rPr>
          <w:rFonts w:ascii="Palatino Linotype" w:hAnsi="Palatino Linotype"/>
          <w:sz w:val="22"/>
        </w:rPr>
        <w:t>foi</w:t>
      </w:r>
      <w:r w:rsidRPr="009D3FAB">
        <w:rPr>
          <w:rFonts w:ascii="Palatino Linotype" w:hAnsi="Palatino Linotype"/>
          <w:sz w:val="22"/>
        </w:rPr>
        <w:t xml:space="preserve"> a baixa quantidade de disciplinas de Tecnologia de Informação presente na maioria das </w:t>
      </w:r>
      <w:r w:rsidR="00835BED" w:rsidRPr="009D3FAB">
        <w:rPr>
          <w:rFonts w:ascii="Palatino Linotype" w:hAnsi="Palatino Linotype"/>
          <w:sz w:val="22"/>
        </w:rPr>
        <w:t>matrizes curriculares</w:t>
      </w:r>
      <w:r w:rsidRPr="009D3FAB">
        <w:rPr>
          <w:rFonts w:ascii="Palatino Linotype" w:hAnsi="Palatino Linotype"/>
          <w:sz w:val="22"/>
        </w:rPr>
        <w:t xml:space="preserve">. Foram encontradas 27 disciplinas de línguas estrangeiras nas </w:t>
      </w:r>
      <w:r w:rsidR="00733C78" w:rsidRPr="009D3FAB">
        <w:rPr>
          <w:rFonts w:ascii="Palatino Linotype" w:hAnsi="Palatino Linotype"/>
          <w:sz w:val="22"/>
        </w:rPr>
        <w:t xml:space="preserve">universidades portuguesas, </w:t>
      </w:r>
      <w:r w:rsidRPr="009D3FAB">
        <w:rPr>
          <w:rFonts w:ascii="Palatino Linotype" w:hAnsi="Palatino Linotype"/>
          <w:sz w:val="22"/>
        </w:rPr>
        <w:t>como Inglês e Francês</w:t>
      </w:r>
      <w:r w:rsidR="00733C78" w:rsidRPr="009D3FAB">
        <w:rPr>
          <w:rFonts w:ascii="Palatino Linotype" w:hAnsi="Palatino Linotype"/>
          <w:sz w:val="22"/>
        </w:rPr>
        <w:t>,</w:t>
      </w:r>
      <w:r w:rsidRPr="009D3FAB">
        <w:rPr>
          <w:rFonts w:ascii="Palatino Linotype" w:hAnsi="Palatino Linotype"/>
          <w:sz w:val="22"/>
        </w:rPr>
        <w:t xml:space="preserve"> </w:t>
      </w:r>
      <w:r w:rsidR="00733C78" w:rsidRPr="009D3FAB">
        <w:rPr>
          <w:rFonts w:ascii="Palatino Linotype" w:hAnsi="Palatino Linotype"/>
          <w:sz w:val="22"/>
        </w:rPr>
        <w:t xml:space="preserve">o que pode representar </w:t>
      </w:r>
      <w:r w:rsidRPr="009D3FAB">
        <w:rPr>
          <w:rFonts w:ascii="Palatino Linotype" w:hAnsi="Palatino Linotype"/>
          <w:sz w:val="22"/>
        </w:rPr>
        <w:t>indícios d</w:t>
      </w:r>
      <w:r w:rsidR="00733C78" w:rsidRPr="009D3FAB">
        <w:rPr>
          <w:rFonts w:ascii="Palatino Linotype" w:hAnsi="Palatino Linotype"/>
          <w:sz w:val="22"/>
        </w:rPr>
        <w:t>a</w:t>
      </w:r>
      <w:r w:rsidRPr="009D3FAB">
        <w:rPr>
          <w:rFonts w:ascii="Palatino Linotype" w:hAnsi="Palatino Linotype"/>
          <w:sz w:val="22"/>
        </w:rPr>
        <w:t xml:space="preserve"> globalização refletindo provavelmente o resultado da União Europ</w:t>
      </w:r>
      <w:r w:rsidR="00733C78" w:rsidRPr="009D3FAB">
        <w:rPr>
          <w:rFonts w:ascii="Palatino Linotype" w:hAnsi="Palatino Linotype"/>
          <w:sz w:val="22"/>
        </w:rPr>
        <w:t>e</w:t>
      </w:r>
      <w:r w:rsidRPr="009D3FAB">
        <w:rPr>
          <w:rFonts w:ascii="Palatino Linotype" w:hAnsi="Palatino Linotype"/>
          <w:sz w:val="22"/>
        </w:rPr>
        <w:t xml:space="preserve">ia. </w:t>
      </w:r>
    </w:p>
    <w:p w:rsidR="009C102F" w:rsidRPr="009D3FAB" w:rsidRDefault="00733C78" w:rsidP="00BE160E">
      <w:pPr>
        <w:autoSpaceDE w:val="0"/>
        <w:autoSpaceDN w:val="0"/>
        <w:adjustRightInd w:val="0"/>
        <w:rPr>
          <w:rFonts w:ascii="Palatino Linotype" w:hAnsi="Palatino Linotype"/>
          <w:sz w:val="22"/>
        </w:rPr>
      </w:pPr>
      <w:r w:rsidRPr="009D3FAB">
        <w:rPr>
          <w:rFonts w:ascii="Palatino Linotype" w:hAnsi="Palatino Linotype"/>
          <w:sz w:val="22"/>
        </w:rPr>
        <w:t xml:space="preserve">Uma </w:t>
      </w:r>
      <w:r w:rsidR="009C102F" w:rsidRPr="009D3FAB">
        <w:rPr>
          <w:rFonts w:ascii="Palatino Linotype" w:hAnsi="Palatino Linotype"/>
          <w:sz w:val="22"/>
        </w:rPr>
        <w:t>evidência esperada da globalização do currículo contábil</w:t>
      </w:r>
      <w:r w:rsidRPr="009D3FAB">
        <w:rPr>
          <w:rFonts w:ascii="Palatino Linotype" w:hAnsi="Palatino Linotype"/>
          <w:sz w:val="22"/>
        </w:rPr>
        <w:t>, segundo os autores,</w:t>
      </w:r>
      <w:r w:rsidR="009C102F" w:rsidRPr="009D3FAB">
        <w:rPr>
          <w:rFonts w:ascii="Palatino Linotype" w:hAnsi="Palatino Linotype"/>
          <w:sz w:val="22"/>
        </w:rPr>
        <w:t xml:space="preserve"> seria a presença de disciplinas relacionadas a assuntos internacionais. De um total de 1</w:t>
      </w:r>
      <w:r w:rsidRPr="009D3FAB">
        <w:rPr>
          <w:rFonts w:ascii="Palatino Linotype" w:hAnsi="Palatino Linotype"/>
          <w:sz w:val="22"/>
        </w:rPr>
        <w:t>.</w:t>
      </w:r>
      <w:r w:rsidR="009C102F" w:rsidRPr="009D3FAB">
        <w:rPr>
          <w:rFonts w:ascii="Palatino Linotype" w:hAnsi="Palatino Linotype"/>
          <w:sz w:val="22"/>
        </w:rPr>
        <w:t xml:space="preserve">906 disciplinas obrigatórias na América do Sul, apenas </w:t>
      </w:r>
      <w:r w:rsidRPr="009D3FAB">
        <w:rPr>
          <w:rFonts w:ascii="Palatino Linotype" w:hAnsi="Palatino Linotype"/>
          <w:sz w:val="22"/>
        </w:rPr>
        <w:t>três</w:t>
      </w:r>
      <w:r w:rsidR="009C102F" w:rsidRPr="009D3FAB">
        <w:rPr>
          <w:rFonts w:ascii="Palatino Linotype" w:hAnsi="Palatino Linotype"/>
          <w:sz w:val="22"/>
        </w:rPr>
        <w:t xml:space="preserve"> refer</w:t>
      </w:r>
      <w:r w:rsidRPr="009D3FAB">
        <w:rPr>
          <w:rFonts w:ascii="Palatino Linotype" w:hAnsi="Palatino Linotype"/>
          <w:sz w:val="22"/>
        </w:rPr>
        <w:t>iam</w:t>
      </w:r>
      <w:r w:rsidR="009C102F" w:rsidRPr="009D3FAB">
        <w:rPr>
          <w:rFonts w:ascii="Palatino Linotype" w:hAnsi="Palatino Linotype"/>
          <w:sz w:val="22"/>
        </w:rPr>
        <w:t xml:space="preserve">-se </w:t>
      </w:r>
      <w:r w:rsidRPr="009D3FAB">
        <w:rPr>
          <w:rFonts w:ascii="Palatino Linotype" w:hAnsi="Palatino Linotype"/>
          <w:sz w:val="22"/>
        </w:rPr>
        <w:t>à</w:t>
      </w:r>
      <w:r w:rsidR="009C102F" w:rsidRPr="009D3FAB">
        <w:rPr>
          <w:rFonts w:ascii="Palatino Linotype" w:hAnsi="Palatino Linotype"/>
          <w:sz w:val="22"/>
        </w:rPr>
        <w:t xml:space="preserve"> Contabilidade Internacional, </w:t>
      </w:r>
      <w:r w:rsidRPr="009D3FAB">
        <w:rPr>
          <w:rFonts w:ascii="Palatino Linotype" w:hAnsi="Palatino Linotype"/>
          <w:sz w:val="22"/>
        </w:rPr>
        <w:t>dez</w:t>
      </w:r>
      <w:r w:rsidR="009C102F" w:rsidRPr="009D3FAB">
        <w:rPr>
          <w:rFonts w:ascii="Palatino Linotype" w:hAnsi="Palatino Linotype"/>
          <w:sz w:val="22"/>
        </w:rPr>
        <w:t xml:space="preserve"> a Negócios Internacionais e uma </w:t>
      </w:r>
      <w:r w:rsidRPr="009D3FAB">
        <w:rPr>
          <w:rFonts w:ascii="Palatino Linotype" w:hAnsi="Palatino Linotype"/>
          <w:sz w:val="22"/>
        </w:rPr>
        <w:t>à</w:t>
      </w:r>
      <w:r w:rsidR="009C102F" w:rsidRPr="009D3FAB">
        <w:rPr>
          <w:rFonts w:ascii="Palatino Linotype" w:hAnsi="Palatino Linotype"/>
          <w:sz w:val="22"/>
        </w:rPr>
        <w:t xml:space="preserve"> Economia Internacional.</w:t>
      </w:r>
    </w:p>
    <w:p w:rsidR="003E0EA0" w:rsidRPr="009D3FAB" w:rsidRDefault="003E0EA0" w:rsidP="00BE160E">
      <w:pPr>
        <w:autoSpaceDE w:val="0"/>
        <w:autoSpaceDN w:val="0"/>
        <w:adjustRightInd w:val="0"/>
        <w:rPr>
          <w:rFonts w:ascii="Palatino Linotype" w:hAnsi="Palatino Linotype"/>
          <w:sz w:val="22"/>
        </w:rPr>
      </w:pPr>
      <w:r w:rsidRPr="009D3FAB">
        <w:rPr>
          <w:rFonts w:ascii="Palatino Linotype" w:hAnsi="Palatino Linotype"/>
          <w:sz w:val="22"/>
        </w:rPr>
        <w:t>Erfuth e Domingues (2008, 2013) analisar</w:t>
      </w:r>
      <w:r w:rsidR="00733C78" w:rsidRPr="009D3FAB">
        <w:rPr>
          <w:rFonts w:ascii="Palatino Linotype" w:hAnsi="Palatino Linotype"/>
          <w:sz w:val="22"/>
        </w:rPr>
        <w:t>am</w:t>
      </w:r>
      <w:r w:rsidRPr="009D3FAB">
        <w:rPr>
          <w:rFonts w:ascii="Palatino Linotype" w:hAnsi="Palatino Linotype"/>
          <w:sz w:val="22"/>
        </w:rPr>
        <w:t xml:space="preserve"> as similaridades e as diferenças d</w:t>
      </w:r>
      <w:r w:rsidR="00C04D50" w:rsidRPr="009D3FAB">
        <w:rPr>
          <w:rFonts w:ascii="Palatino Linotype" w:hAnsi="Palatino Linotype"/>
          <w:sz w:val="22"/>
        </w:rPr>
        <w:t xml:space="preserve">as matrizes curriculares de cursos </w:t>
      </w:r>
      <w:r w:rsidRPr="009D3FAB">
        <w:rPr>
          <w:rFonts w:ascii="Palatino Linotype" w:hAnsi="Palatino Linotype"/>
          <w:sz w:val="22"/>
        </w:rPr>
        <w:t xml:space="preserve">de graduação em Ciências Contábeis no Brasil e na Argentina à luz do </w:t>
      </w:r>
      <w:r w:rsidR="00835BED" w:rsidRPr="009D3FAB">
        <w:rPr>
          <w:rFonts w:ascii="Palatino Linotype" w:hAnsi="Palatino Linotype"/>
          <w:sz w:val="22"/>
        </w:rPr>
        <w:t xml:space="preserve">currículo mundial </w:t>
      </w:r>
      <w:r w:rsidRPr="009D3FAB">
        <w:rPr>
          <w:rFonts w:ascii="Palatino Linotype" w:hAnsi="Palatino Linotype"/>
          <w:sz w:val="22"/>
        </w:rPr>
        <w:t xml:space="preserve">(CM) </w:t>
      </w:r>
      <w:r w:rsidR="00733C78" w:rsidRPr="009D3FAB">
        <w:rPr>
          <w:rFonts w:ascii="Palatino Linotype" w:hAnsi="Palatino Linotype"/>
          <w:sz w:val="22"/>
        </w:rPr>
        <w:t>proposto pela ONU/UNCTAD/ISAR</w:t>
      </w:r>
      <w:r w:rsidRPr="009D3FAB">
        <w:rPr>
          <w:rFonts w:ascii="Palatino Linotype" w:hAnsi="Palatino Linotype"/>
          <w:sz w:val="22"/>
        </w:rPr>
        <w:t>. Os resultados encontrados mostram que no Brasil existe maior similaridade nas áreas de conhecimento sobre gestão e administração das atividades, contabilidade gerencial, contabilidade básica e estágio. Na Argentina os conteúdos sobre economia, contabilidade financeira, contabilidade do nível avançado para ind</w:t>
      </w:r>
      <w:r w:rsidR="00835BED" w:rsidRPr="009D3FAB">
        <w:rPr>
          <w:rFonts w:ascii="Palatino Linotype" w:hAnsi="Palatino Linotype"/>
          <w:sz w:val="22"/>
        </w:rPr>
        <w:t>ú</w:t>
      </w:r>
      <w:r w:rsidRPr="009D3FAB">
        <w:rPr>
          <w:rFonts w:ascii="Palatino Linotype" w:hAnsi="Palatino Linotype"/>
          <w:sz w:val="22"/>
        </w:rPr>
        <w:t xml:space="preserve">strias especializadas e contabilidade tributária avançada foram as que mostraram similaridade com o currículo mundial. </w:t>
      </w:r>
    </w:p>
    <w:p w:rsidR="00A75884" w:rsidRPr="009D3FAB" w:rsidRDefault="00113F28" w:rsidP="00BE160E">
      <w:pPr>
        <w:autoSpaceDE w:val="0"/>
        <w:autoSpaceDN w:val="0"/>
        <w:adjustRightInd w:val="0"/>
        <w:rPr>
          <w:rFonts w:ascii="Palatino Linotype" w:hAnsi="Palatino Linotype"/>
          <w:sz w:val="22"/>
        </w:rPr>
      </w:pPr>
      <w:proofErr w:type="spellStart"/>
      <w:r w:rsidRPr="009D3FAB">
        <w:rPr>
          <w:rFonts w:ascii="Palatino Linotype" w:hAnsi="Palatino Linotype"/>
          <w:sz w:val="22"/>
        </w:rPr>
        <w:t>Czesnat</w:t>
      </w:r>
      <w:proofErr w:type="spellEnd"/>
      <w:r w:rsidRPr="009D3FAB">
        <w:rPr>
          <w:rFonts w:ascii="Palatino Linotype" w:hAnsi="Palatino Linotype"/>
          <w:sz w:val="22"/>
        </w:rPr>
        <w:t>, Cunha e Domingues (2009)</w:t>
      </w:r>
      <w:r w:rsidR="00A75884" w:rsidRPr="009D3FAB">
        <w:rPr>
          <w:rFonts w:ascii="Palatino Linotype" w:hAnsi="Palatino Linotype"/>
          <w:sz w:val="22"/>
        </w:rPr>
        <w:t xml:space="preserve"> analisaram </w:t>
      </w:r>
      <w:r w:rsidR="00835BED" w:rsidRPr="009D3FAB">
        <w:rPr>
          <w:rFonts w:ascii="Palatino Linotype" w:hAnsi="Palatino Linotype"/>
          <w:sz w:val="22"/>
        </w:rPr>
        <w:t xml:space="preserve">as matrizes curriculares dos cursos de </w:t>
      </w:r>
      <w:r w:rsidR="00A75884" w:rsidRPr="009D3FAB">
        <w:rPr>
          <w:rFonts w:ascii="Palatino Linotype" w:hAnsi="Palatino Linotype"/>
          <w:sz w:val="22"/>
        </w:rPr>
        <w:t>Ciências Contábeis das Universidades do Estado de Santa Catarina listadas pelo MEC e compararam com o currículo mundial proposto pela ONU/UNCTAD/ISAR. A pesquisa demonstrou que os currículos dos cursos pesquisados possuem alta similaridade com o currículo mundial, alcançando um índice de 88,27%</w:t>
      </w:r>
      <w:r w:rsidR="00835BED" w:rsidRPr="009D3FAB">
        <w:rPr>
          <w:rFonts w:ascii="Palatino Linotype" w:hAnsi="Palatino Linotype"/>
          <w:sz w:val="22"/>
        </w:rPr>
        <w:t xml:space="preserve">, com foco </w:t>
      </w:r>
      <w:r w:rsidR="00A75884" w:rsidRPr="009D3FAB">
        <w:rPr>
          <w:rFonts w:ascii="Palatino Linotype" w:hAnsi="Palatino Linotype"/>
          <w:sz w:val="22"/>
        </w:rPr>
        <w:t xml:space="preserve">em geral </w:t>
      </w:r>
      <w:r w:rsidR="00835BED" w:rsidRPr="009D3FAB">
        <w:rPr>
          <w:rFonts w:ascii="Palatino Linotype" w:hAnsi="Palatino Linotype"/>
          <w:sz w:val="22"/>
        </w:rPr>
        <w:t>n</w:t>
      </w:r>
      <w:r w:rsidR="00A75884" w:rsidRPr="009D3FAB">
        <w:rPr>
          <w:rFonts w:ascii="Palatino Linotype" w:hAnsi="Palatino Linotype"/>
          <w:sz w:val="22"/>
        </w:rPr>
        <w:t xml:space="preserve">o mercado. </w:t>
      </w:r>
      <w:r w:rsidR="00915186" w:rsidRPr="009D3FAB">
        <w:rPr>
          <w:rFonts w:ascii="Palatino Linotype" w:hAnsi="Palatino Linotype"/>
          <w:sz w:val="22"/>
        </w:rPr>
        <w:t>Os autores ressaltaram nos seus achados que apenas quatro das 11 universidades pesquisadas apresenta</w:t>
      </w:r>
      <w:r w:rsidR="00835BED" w:rsidRPr="009D3FAB">
        <w:rPr>
          <w:rFonts w:ascii="Palatino Linotype" w:hAnsi="Palatino Linotype"/>
          <w:sz w:val="22"/>
        </w:rPr>
        <w:t>ra</w:t>
      </w:r>
      <w:r w:rsidR="00915186" w:rsidRPr="009D3FAB">
        <w:rPr>
          <w:rFonts w:ascii="Palatino Linotype" w:hAnsi="Palatino Linotype"/>
          <w:sz w:val="22"/>
        </w:rPr>
        <w:t>m a disciplina Contabilidade Internacional como obrigatórias em s</w:t>
      </w:r>
      <w:r w:rsidR="00835BED" w:rsidRPr="009D3FAB">
        <w:rPr>
          <w:rFonts w:ascii="Palatino Linotype" w:hAnsi="Palatino Linotype"/>
          <w:sz w:val="22"/>
        </w:rPr>
        <w:t>uas matrizes curriculares</w:t>
      </w:r>
      <w:r w:rsidR="00915186" w:rsidRPr="009D3FAB">
        <w:rPr>
          <w:rFonts w:ascii="Palatino Linotype" w:hAnsi="Palatino Linotype"/>
          <w:sz w:val="22"/>
        </w:rPr>
        <w:t>.</w:t>
      </w:r>
    </w:p>
    <w:p w:rsidR="00400C07" w:rsidRPr="009D3FAB" w:rsidRDefault="00400C07" w:rsidP="00BE160E">
      <w:pPr>
        <w:autoSpaceDE w:val="0"/>
        <w:autoSpaceDN w:val="0"/>
        <w:adjustRightInd w:val="0"/>
        <w:rPr>
          <w:rFonts w:ascii="Palatino Linotype" w:hAnsi="Palatino Linotype"/>
          <w:sz w:val="22"/>
        </w:rPr>
      </w:pPr>
      <w:r w:rsidRPr="009D3FAB">
        <w:rPr>
          <w:rFonts w:ascii="Palatino Linotype" w:hAnsi="Palatino Linotype"/>
          <w:sz w:val="22"/>
        </w:rPr>
        <w:t>Cavalcanti (2013)</w:t>
      </w:r>
      <w:r w:rsidR="003E0EA0" w:rsidRPr="009D3FAB">
        <w:rPr>
          <w:rFonts w:ascii="Palatino Linotype" w:hAnsi="Palatino Linotype"/>
          <w:sz w:val="22"/>
        </w:rPr>
        <w:t xml:space="preserve"> </w:t>
      </w:r>
      <w:r w:rsidRPr="009D3FAB">
        <w:rPr>
          <w:rFonts w:ascii="Palatino Linotype" w:hAnsi="Palatino Linotype"/>
          <w:sz w:val="22"/>
        </w:rPr>
        <w:t>objetivou verificar o nível de adequação d</w:t>
      </w:r>
      <w:r w:rsidR="00835BED" w:rsidRPr="009D3FAB">
        <w:rPr>
          <w:rFonts w:ascii="Palatino Linotype" w:hAnsi="Palatino Linotype"/>
          <w:sz w:val="22"/>
        </w:rPr>
        <w:t xml:space="preserve">as matrizes curriculares </w:t>
      </w:r>
      <w:r w:rsidRPr="009D3FAB">
        <w:rPr>
          <w:rFonts w:ascii="Palatino Linotype" w:hAnsi="Palatino Linotype"/>
          <w:sz w:val="22"/>
        </w:rPr>
        <w:t xml:space="preserve">dos cursos de Ciências Contábeis das IESs goianas ao modelo de currículo </w:t>
      </w:r>
      <w:r w:rsidR="00835BED" w:rsidRPr="009D3FAB">
        <w:rPr>
          <w:rFonts w:ascii="Palatino Linotype" w:hAnsi="Palatino Linotype"/>
          <w:sz w:val="22"/>
        </w:rPr>
        <w:t>mundial</w:t>
      </w:r>
      <w:r w:rsidRPr="009D3FAB">
        <w:rPr>
          <w:rFonts w:ascii="Palatino Linotype" w:hAnsi="Palatino Linotype"/>
          <w:sz w:val="22"/>
        </w:rPr>
        <w:t xml:space="preserve">. </w:t>
      </w:r>
      <w:r w:rsidR="00835BED" w:rsidRPr="009D3FAB">
        <w:rPr>
          <w:rFonts w:ascii="Palatino Linotype" w:hAnsi="Palatino Linotype"/>
          <w:sz w:val="22"/>
        </w:rPr>
        <w:t>P</w:t>
      </w:r>
      <w:r w:rsidRPr="009D3FAB">
        <w:rPr>
          <w:rFonts w:ascii="Palatino Linotype" w:hAnsi="Palatino Linotype"/>
          <w:sz w:val="22"/>
        </w:rPr>
        <w:t xml:space="preserve">or meio de uma pesquisa descritiva, fundamentada em material documental-bibliográfico e de abordagem qualitativa, foram selecionados os currículos de 20 IES que oferecem a graduação em Ciências Contábeis no </w:t>
      </w:r>
      <w:r w:rsidR="00835BED" w:rsidRPr="009D3FAB">
        <w:rPr>
          <w:rFonts w:ascii="Palatino Linotype" w:hAnsi="Palatino Linotype"/>
          <w:sz w:val="22"/>
        </w:rPr>
        <w:t>E</w:t>
      </w:r>
      <w:r w:rsidRPr="009D3FAB">
        <w:rPr>
          <w:rFonts w:ascii="Palatino Linotype" w:hAnsi="Palatino Linotype"/>
          <w:sz w:val="22"/>
        </w:rPr>
        <w:t>stado de Goiás. Os resultados revela</w:t>
      </w:r>
      <w:r w:rsidR="00835BED" w:rsidRPr="009D3FAB">
        <w:rPr>
          <w:rFonts w:ascii="Palatino Linotype" w:hAnsi="Palatino Linotype"/>
          <w:sz w:val="22"/>
        </w:rPr>
        <w:t>ra</w:t>
      </w:r>
      <w:r w:rsidRPr="009D3FAB">
        <w:rPr>
          <w:rFonts w:ascii="Palatino Linotype" w:hAnsi="Palatino Linotype"/>
          <w:sz w:val="22"/>
        </w:rPr>
        <w:t xml:space="preserve">m, dentre outros fatores, </w:t>
      </w:r>
      <w:r w:rsidRPr="009D3FAB">
        <w:rPr>
          <w:rFonts w:ascii="Palatino Linotype" w:hAnsi="Palatino Linotype"/>
          <w:sz w:val="22"/>
        </w:rPr>
        <w:lastRenderedPageBreak/>
        <w:t>que os currículos das IESs pesquisadas apresenta</w:t>
      </w:r>
      <w:r w:rsidR="00835BED" w:rsidRPr="009D3FAB">
        <w:rPr>
          <w:rFonts w:ascii="Palatino Linotype" w:hAnsi="Palatino Linotype"/>
          <w:sz w:val="22"/>
        </w:rPr>
        <w:t>ra</w:t>
      </w:r>
      <w:r w:rsidRPr="009D3FAB">
        <w:rPr>
          <w:rFonts w:ascii="Palatino Linotype" w:hAnsi="Palatino Linotype"/>
          <w:sz w:val="22"/>
        </w:rPr>
        <w:t xml:space="preserve">m 43% de similaridade com a proposta de </w:t>
      </w:r>
      <w:r w:rsidR="00835BED" w:rsidRPr="009D3FAB">
        <w:rPr>
          <w:rFonts w:ascii="Palatino Linotype" w:hAnsi="Palatino Linotype"/>
          <w:sz w:val="22"/>
        </w:rPr>
        <w:t>currículo mundial da ONU/UNCTAD/ISAR</w:t>
      </w:r>
      <w:r w:rsidRPr="009D3FAB">
        <w:rPr>
          <w:rFonts w:ascii="Palatino Linotype" w:hAnsi="Palatino Linotype"/>
          <w:sz w:val="22"/>
        </w:rPr>
        <w:t>.</w:t>
      </w:r>
    </w:p>
    <w:p w:rsidR="003E0EA0" w:rsidRPr="009D3FAB" w:rsidRDefault="003E0EA0" w:rsidP="00BE160E">
      <w:pPr>
        <w:pStyle w:val="Default"/>
        <w:ind w:firstLine="709"/>
        <w:jc w:val="both"/>
        <w:rPr>
          <w:rFonts w:cs="Times New Roman"/>
          <w:b/>
          <w:color w:val="auto"/>
          <w:sz w:val="22"/>
          <w:szCs w:val="22"/>
        </w:rPr>
      </w:pPr>
      <w:r w:rsidRPr="009D3FAB">
        <w:rPr>
          <w:rFonts w:cs="Times New Roman"/>
          <w:color w:val="auto"/>
          <w:sz w:val="22"/>
          <w:szCs w:val="22"/>
        </w:rPr>
        <w:t xml:space="preserve">Segantini </w:t>
      </w:r>
      <w:r w:rsidR="009117C8" w:rsidRPr="009D3FAB">
        <w:rPr>
          <w:rFonts w:cs="Times New Roman"/>
          <w:color w:val="auto"/>
          <w:sz w:val="22"/>
          <w:szCs w:val="22"/>
        </w:rPr>
        <w:t>et al.</w:t>
      </w:r>
      <w:r w:rsidRPr="009D3FAB">
        <w:rPr>
          <w:rFonts w:cs="Times New Roman"/>
          <w:color w:val="auto"/>
          <w:sz w:val="22"/>
          <w:szCs w:val="22"/>
        </w:rPr>
        <w:t xml:space="preserve"> (2013)</w:t>
      </w:r>
      <w:r w:rsidR="00400C07" w:rsidRPr="009D3FAB">
        <w:rPr>
          <w:rFonts w:cs="Times New Roman"/>
          <w:color w:val="auto"/>
          <w:sz w:val="22"/>
          <w:szCs w:val="22"/>
        </w:rPr>
        <w:t xml:space="preserve"> comparar</w:t>
      </w:r>
      <w:r w:rsidR="00835BED" w:rsidRPr="009D3FAB">
        <w:rPr>
          <w:rFonts w:cs="Times New Roman"/>
          <w:color w:val="auto"/>
          <w:sz w:val="22"/>
          <w:szCs w:val="22"/>
        </w:rPr>
        <w:t>am</w:t>
      </w:r>
      <w:r w:rsidR="00400C07" w:rsidRPr="009D3FAB">
        <w:rPr>
          <w:rFonts w:cs="Times New Roman"/>
          <w:color w:val="auto"/>
          <w:sz w:val="22"/>
          <w:szCs w:val="22"/>
        </w:rPr>
        <w:t xml:space="preserve"> a adequação d</w:t>
      </w:r>
      <w:r w:rsidR="00835BED" w:rsidRPr="009D3FAB">
        <w:rPr>
          <w:rFonts w:cs="Times New Roman"/>
          <w:color w:val="auto"/>
          <w:sz w:val="22"/>
          <w:szCs w:val="22"/>
        </w:rPr>
        <w:t xml:space="preserve">as matrizes curriculares </w:t>
      </w:r>
      <w:r w:rsidR="00400C07" w:rsidRPr="009D3FAB">
        <w:rPr>
          <w:rFonts w:cs="Times New Roman"/>
          <w:color w:val="auto"/>
          <w:sz w:val="22"/>
          <w:szCs w:val="22"/>
        </w:rPr>
        <w:t xml:space="preserve">dos cursos de </w:t>
      </w:r>
      <w:r w:rsidR="00835BED" w:rsidRPr="009D3FAB">
        <w:rPr>
          <w:rFonts w:cs="Times New Roman"/>
          <w:color w:val="auto"/>
          <w:sz w:val="22"/>
          <w:szCs w:val="22"/>
        </w:rPr>
        <w:t>Ciências Contábeis</w:t>
      </w:r>
      <w:r w:rsidR="00400C07" w:rsidRPr="009D3FAB">
        <w:rPr>
          <w:rFonts w:cs="Times New Roman"/>
          <w:color w:val="auto"/>
          <w:sz w:val="22"/>
          <w:szCs w:val="22"/>
        </w:rPr>
        <w:t xml:space="preserve"> de quatro universidades do </w:t>
      </w:r>
      <w:r w:rsidR="00835BED" w:rsidRPr="009D3FAB">
        <w:rPr>
          <w:rFonts w:cs="Times New Roman"/>
          <w:color w:val="auto"/>
          <w:sz w:val="22"/>
          <w:szCs w:val="22"/>
        </w:rPr>
        <w:t>Mercosul</w:t>
      </w:r>
      <w:r w:rsidR="000A3A89" w:rsidRPr="009D3FAB">
        <w:rPr>
          <w:rFonts w:cs="Times New Roman"/>
          <w:color w:val="auto"/>
          <w:sz w:val="22"/>
          <w:szCs w:val="22"/>
        </w:rPr>
        <w:t xml:space="preserve"> </w:t>
      </w:r>
      <w:r w:rsidR="00400C07" w:rsidRPr="009D3FAB">
        <w:rPr>
          <w:rFonts w:cs="Times New Roman"/>
          <w:color w:val="auto"/>
          <w:sz w:val="22"/>
          <w:szCs w:val="22"/>
        </w:rPr>
        <w:t>com o currículo proposto pela ONU/UNCTAD/ISAR. Os resultados indica</w:t>
      </w:r>
      <w:r w:rsidR="00835BED" w:rsidRPr="009D3FAB">
        <w:rPr>
          <w:rFonts w:cs="Times New Roman"/>
          <w:color w:val="auto"/>
          <w:sz w:val="22"/>
          <w:szCs w:val="22"/>
        </w:rPr>
        <w:t>ra</w:t>
      </w:r>
      <w:r w:rsidR="00400C07" w:rsidRPr="009D3FAB">
        <w:rPr>
          <w:rFonts w:cs="Times New Roman"/>
          <w:color w:val="auto"/>
          <w:sz w:val="22"/>
          <w:szCs w:val="22"/>
        </w:rPr>
        <w:t xml:space="preserve">m que a similaridade entre os currículos das quatro universidades selecionadas com o proposto pela ONU/UNCTAD/ISAR é alta, existindo, em média, 76,7% de semelhança entre as </w:t>
      </w:r>
      <w:r w:rsidR="00835BED" w:rsidRPr="009D3FAB">
        <w:rPr>
          <w:rFonts w:cs="Times New Roman"/>
          <w:color w:val="auto"/>
          <w:sz w:val="22"/>
          <w:szCs w:val="22"/>
        </w:rPr>
        <w:t>disciplinas que compõem as matrizes curriculares</w:t>
      </w:r>
      <w:r w:rsidR="00400C07" w:rsidRPr="009D3FAB">
        <w:rPr>
          <w:rFonts w:cs="Times New Roman"/>
          <w:color w:val="auto"/>
          <w:sz w:val="22"/>
          <w:szCs w:val="22"/>
        </w:rPr>
        <w:t>. Por ser apenas uma recomendação, as universidades pesquisadas demonstraram possuir certa flexibilidade na elaboração de seus currículos.</w:t>
      </w:r>
    </w:p>
    <w:p w:rsidR="00C04D50" w:rsidRPr="009D3FAB" w:rsidRDefault="009C102F" w:rsidP="00BE160E">
      <w:pPr>
        <w:autoSpaceDE w:val="0"/>
        <w:autoSpaceDN w:val="0"/>
        <w:adjustRightInd w:val="0"/>
        <w:rPr>
          <w:rFonts w:ascii="Palatino Linotype" w:hAnsi="Palatino Linotype"/>
          <w:sz w:val="22"/>
        </w:rPr>
      </w:pPr>
      <w:r w:rsidRPr="009D3FAB">
        <w:rPr>
          <w:rFonts w:ascii="Palatino Linotype" w:hAnsi="Palatino Linotype"/>
          <w:sz w:val="22"/>
        </w:rPr>
        <w:t xml:space="preserve">Santos </w:t>
      </w:r>
      <w:r w:rsidR="009117C8" w:rsidRPr="009D3FAB">
        <w:rPr>
          <w:rFonts w:ascii="Palatino Linotype" w:hAnsi="Palatino Linotype"/>
          <w:sz w:val="22"/>
        </w:rPr>
        <w:t>et al.</w:t>
      </w:r>
      <w:r w:rsidRPr="009D3FAB">
        <w:rPr>
          <w:rFonts w:ascii="Palatino Linotype" w:hAnsi="Palatino Linotype"/>
          <w:sz w:val="22"/>
        </w:rPr>
        <w:t xml:space="preserve"> (2013) pesquisaram o nível de similaridade das matrizes curriculares dos cursos de Ciências Contábeis das instituições </w:t>
      </w:r>
      <w:r w:rsidR="00835BED" w:rsidRPr="009D3FAB">
        <w:rPr>
          <w:rFonts w:ascii="Palatino Linotype" w:hAnsi="Palatino Linotype"/>
          <w:sz w:val="22"/>
        </w:rPr>
        <w:t>p</w:t>
      </w:r>
      <w:r w:rsidRPr="009D3FAB">
        <w:rPr>
          <w:rFonts w:ascii="Palatino Linotype" w:hAnsi="Palatino Linotype"/>
          <w:sz w:val="22"/>
        </w:rPr>
        <w:t xml:space="preserve">aranaenses e concluíram que </w:t>
      </w:r>
      <w:r w:rsidR="00C04D50" w:rsidRPr="009D3FAB">
        <w:rPr>
          <w:rFonts w:ascii="Palatino Linotype" w:hAnsi="Palatino Linotype"/>
          <w:sz w:val="22"/>
        </w:rPr>
        <w:t>el</w:t>
      </w:r>
      <w:r w:rsidRPr="009D3FAB">
        <w:rPr>
          <w:rFonts w:ascii="Palatino Linotype" w:hAnsi="Palatino Linotype"/>
          <w:sz w:val="22"/>
        </w:rPr>
        <w:t>as apresentam 88,38% de similaridade</w:t>
      </w:r>
      <w:r w:rsidR="00C04D50" w:rsidRPr="009D3FAB">
        <w:rPr>
          <w:rFonts w:ascii="Palatino Linotype" w:hAnsi="Palatino Linotype"/>
          <w:sz w:val="22"/>
        </w:rPr>
        <w:t xml:space="preserve"> com o currículo mundial</w:t>
      </w:r>
      <w:r w:rsidRPr="009D3FAB">
        <w:rPr>
          <w:rFonts w:ascii="Palatino Linotype" w:hAnsi="Palatino Linotype"/>
          <w:sz w:val="22"/>
        </w:rPr>
        <w:t>. Ao analisar os blocos individuais, verific</w:t>
      </w:r>
      <w:r w:rsidR="00C04D50" w:rsidRPr="009D3FAB">
        <w:rPr>
          <w:rFonts w:ascii="Palatino Linotype" w:hAnsi="Palatino Linotype"/>
          <w:sz w:val="22"/>
        </w:rPr>
        <w:t xml:space="preserve">aram </w:t>
      </w:r>
      <w:r w:rsidRPr="009D3FAB">
        <w:rPr>
          <w:rFonts w:ascii="Palatino Linotype" w:hAnsi="Palatino Linotype"/>
          <w:sz w:val="22"/>
        </w:rPr>
        <w:t xml:space="preserve">um desequilíbrio de similaridade. </w:t>
      </w:r>
      <w:r w:rsidR="00C04D50" w:rsidRPr="009D3FAB">
        <w:rPr>
          <w:rFonts w:ascii="Palatino Linotype" w:hAnsi="Palatino Linotype"/>
          <w:sz w:val="22"/>
        </w:rPr>
        <w:t>P</w:t>
      </w:r>
      <w:r w:rsidRPr="009D3FAB">
        <w:rPr>
          <w:rFonts w:ascii="Palatino Linotype" w:hAnsi="Palatino Linotype"/>
          <w:sz w:val="22"/>
        </w:rPr>
        <w:t>or exemplo, o bloco Tecnologia da Informação apresent</w:t>
      </w:r>
      <w:r w:rsidR="00C04D50" w:rsidRPr="009D3FAB">
        <w:rPr>
          <w:rFonts w:ascii="Palatino Linotype" w:hAnsi="Palatino Linotype"/>
          <w:sz w:val="22"/>
        </w:rPr>
        <w:t>ou</w:t>
      </w:r>
      <w:r w:rsidRPr="009D3FAB">
        <w:rPr>
          <w:rFonts w:ascii="Palatino Linotype" w:hAnsi="Palatino Linotype"/>
          <w:sz w:val="22"/>
        </w:rPr>
        <w:t xml:space="preserve"> baixo índice de similaridade (2,06%) ao </w:t>
      </w:r>
      <w:r w:rsidR="00C04D50" w:rsidRPr="009D3FAB">
        <w:rPr>
          <w:rFonts w:ascii="Palatino Linotype" w:hAnsi="Palatino Linotype"/>
          <w:sz w:val="22"/>
        </w:rPr>
        <w:t>currículo mundial</w:t>
      </w:r>
      <w:r w:rsidRPr="009D3FAB">
        <w:rPr>
          <w:rFonts w:ascii="Palatino Linotype" w:hAnsi="Palatino Linotype"/>
          <w:sz w:val="22"/>
        </w:rPr>
        <w:t xml:space="preserve">, o que pode predizer um fraco desempenho dos profissionais </w:t>
      </w:r>
      <w:r w:rsidR="00C04D50" w:rsidRPr="009D3FAB">
        <w:rPr>
          <w:rFonts w:ascii="Palatino Linotype" w:hAnsi="Palatino Linotype"/>
          <w:sz w:val="22"/>
        </w:rPr>
        <w:t>c</w:t>
      </w:r>
      <w:r w:rsidRPr="009D3FAB">
        <w:rPr>
          <w:rFonts w:ascii="Palatino Linotype" w:hAnsi="Palatino Linotype"/>
          <w:sz w:val="22"/>
        </w:rPr>
        <w:t xml:space="preserve">ontadores nas questões que remetam aos aspectos tecnológicos. </w:t>
      </w:r>
      <w:r w:rsidR="00C04D50" w:rsidRPr="009D3FAB">
        <w:rPr>
          <w:rFonts w:ascii="Palatino Linotype" w:hAnsi="Palatino Linotype"/>
          <w:sz w:val="22"/>
        </w:rPr>
        <w:t>De modo geral, a</w:t>
      </w:r>
      <w:r w:rsidRPr="009D3FAB">
        <w:rPr>
          <w:rFonts w:ascii="Palatino Linotype" w:hAnsi="Palatino Linotype"/>
          <w:sz w:val="22"/>
        </w:rPr>
        <w:t xml:space="preserve"> pesquisa mostr</w:t>
      </w:r>
      <w:r w:rsidR="00C04D50" w:rsidRPr="009D3FAB">
        <w:rPr>
          <w:rFonts w:ascii="Palatino Linotype" w:hAnsi="Palatino Linotype"/>
          <w:sz w:val="22"/>
        </w:rPr>
        <w:t>ou</w:t>
      </w:r>
      <w:r w:rsidRPr="009D3FAB">
        <w:rPr>
          <w:rFonts w:ascii="Palatino Linotype" w:hAnsi="Palatino Linotype"/>
          <w:sz w:val="22"/>
        </w:rPr>
        <w:t xml:space="preserve"> que as matrizes curriculares das Instituições de E</w:t>
      </w:r>
      <w:r w:rsidR="00C04D50" w:rsidRPr="009D3FAB">
        <w:rPr>
          <w:rFonts w:ascii="Palatino Linotype" w:hAnsi="Palatino Linotype"/>
          <w:sz w:val="22"/>
        </w:rPr>
        <w:t xml:space="preserve">nsino </w:t>
      </w:r>
      <w:r w:rsidRPr="009D3FAB">
        <w:rPr>
          <w:rFonts w:ascii="Palatino Linotype" w:hAnsi="Palatino Linotype"/>
          <w:sz w:val="22"/>
        </w:rPr>
        <w:t xml:space="preserve">do Estado do Paraná estão alinhadas às recomendações do </w:t>
      </w:r>
      <w:r w:rsidR="00C04D50" w:rsidRPr="009D3FAB">
        <w:rPr>
          <w:rFonts w:ascii="Palatino Linotype" w:hAnsi="Palatino Linotype"/>
          <w:sz w:val="22"/>
        </w:rPr>
        <w:t>currículo mundial</w:t>
      </w:r>
      <w:r w:rsidRPr="009D3FAB">
        <w:rPr>
          <w:rFonts w:ascii="Palatino Linotype" w:hAnsi="Palatino Linotype"/>
          <w:sz w:val="22"/>
        </w:rPr>
        <w:t xml:space="preserve"> quanto às disciplinas a serem oferecidas. </w:t>
      </w:r>
    </w:p>
    <w:p w:rsidR="00EC5BBB" w:rsidRPr="0070772A" w:rsidRDefault="00EC5BBB" w:rsidP="00BE160E">
      <w:pPr>
        <w:autoSpaceDE w:val="0"/>
        <w:autoSpaceDN w:val="0"/>
        <w:adjustRightInd w:val="0"/>
        <w:rPr>
          <w:rFonts w:ascii="Palatino Linotype" w:hAnsi="Palatino Linotype"/>
          <w:sz w:val="22"/>
        </w:rPr>
      </w:pPr>
    </w:p>
    <w:p w:rsidR="00533C15" w:rsidRPr="0070772A" w:rsidRDefault="001558A1" w:rsidP="00FE7B0E">
      <w:pPr>
        <w:pStyle w:val="Ttulo1"/>
        <w:spacing w:before="0"/>
        <w:ind w:left="0" w:firstLine="0"/>
        <w:rPr>
          <w:rFonts w:ascii="Palatino Linotype" w:hAnsi="Palatino Linotype"/>
          <w:sz w:val="22"/>
          <w:szCs w:val="22"/>
        </w:rPr>
      </w:pPr>
      <w:r w:rsidRPr="0070772A">
        <w:rPr>
          <w:rFonts w:ascii="Palatino Linotype" w:hAnsi="Palatino Linotype"/>
          <w:caps w:val="0"/>
          <w:sz w:val="22"/>
          <w:szCs w:val="22"/>
        </w:rPr>
        <w:t>PROCEDIMENTOS METODOLÓGICOS</w:t>
      </w:r>
    </w:p>
    <w:p w:rsidR="001208EF" w:rsidRPr="009D3FAB" w:rsidRDefault="00C75973" w:rsidP="00BE160E">
      <w:pPr>
        <w:rPr>
          <w:rFonts w:ascii="Palatino Linotype" w:hAnsi="Palatino Linotype"/>
          <w:sz w:val="22"/>
        </w:rPr>
      </w:pPr>
      <w:r w:rsidRPr="009D3FAB">
        <w:rPr>
          <w:rFonts w:ascii="Palatino Linotype" w:hAnsi="Palatino Linotype"/>
          <w:sz w:val="22"/>
        </w:rPr>
        <w:t>Para</w:t>
      </w:r>
      <w:r w:rsidR="001208EF" w:rsidRPr="009D3FAB">
        <w:rPr>
          <w:rFonts w:ascii="Palatino Linotype" w:hAnsi="Palatino Linotype"/>
          <w:sz w:val="22"/>
        </w:rPr>
        <w:t xml:space="preserve"> comparar a adequação d</w:t>
      </w:r>
      <w:r w:rsidR="006D5D78" w:rsidRPr="009D3FAB">
        <w:rPr>
          <w:rFonts w:ascii="Palatino Linotype" w:hAnsi="Palatino Linotype"/>
          <w:sz w:val="22"/>
        </w:rPr>
        <w:t xml:space="preserve">as matrizes curriculares </w:t>
      </w:r>
      <w:r w:rsidR="001208EF" w:rsidRPr="009D3FAB">
        <w:rPr>
          <w:rFonts w:ascii="Palatino Linotype" w:hAnsi="Palatino Linotype"/>
          <w:sz w:val="22"/>
        </w:rPr>
        <w:t xml:space="preserve">dos cursos de Ciências Contábeis com o currículo </w:t>
      </w:r>
      <w:r w:rsidR="006D5D78" w:rsidRPr="009D3FAB">
        <w:rPr>
          <w:rFonts w:ascii="Palatino Linotype" w:hAnsi="Palatino Linotype"/>
          <w:sz w:val="22"/>
        </w:rPr>
        <w:t xml:space="preserve">mundial </w:t>
      </w:r>
      <w:r w:rsidR="001208EF" w:rsidRPr="009D3FAB">
        <w:rPr>
          <w:rFonts w:ascii="Palatino Linotype" w:hAnsi="Palatino Linotype"/>
          <w:sz w:val="22"/>
        </w:rPr>
        <w:t xml:space="preserve">proposto </w:t>
      </w:r>
      <w:r w:rsidR="006D5D78" w:rsidRPr="009D3FAB">
        <w:rPr>
          <w:rFonts w:ascii="Palatino Linotype" w:hAnsi="Palatino Linotype"/>
          <w:sz w:val="22"/>
        </w:rPr>
        <w:t xml:space="preserve">pela </w:t>
      </w:r>
      <w:r w:rsidRPr="009D3FAB">
        <w:rPr>
          <w:rFonts w:ascii="Palatino Linotype" w:hAnsi="Palatino Linotype"/>
          <w:sz w:val="22"/>
        </w:rPr>
        <w:t>ONU/UNCTAD/ISAR, adotou-se uma pesquisa descritiva, com análise documental</w:t>
      </w:r>
      <w:r w:rsidR="006D5D78" w:rsidRPr="009D3FAB">
        <w:rPr>
          <w:rFonts w:ascii="Palatino Linotype" w:hAnsi="Palatino Linotype"/>
          <w:sz w:val="22"/>
        </w:rPr>
        <w:t>,</w:t>
      </w:r>
      <w:r w:rsidRPr="009D3FAB">
        <w:rPr>
          <w:rFonts w:ascii="Palatino Linotype" w:hAnsi="Palatino Linotype"/>
          <w:sz w:val="22"/>
        </w:rPr>
        <w:t xml:space="preserve"> </w:t>
      </w:r>
      <w:r w:rsidR="006D5D78" w:rsidRPr="009D3FAB">
        <w:rPr>
          <w:rFonts w:ascii="Palatino Linotype" w:hAnsi="Palatino Linotype"/>
          <w:sz w:val="22"/>
        </w:rPr>
        <w:t xml:space="preserve">a partir </w:t>
      </w:r>
      <w:r w:rsidRPr="009D3FAB">
        <w:rPr>
          <w:rFonts w:ascii="Palatino Linotype" w:hAnsi="Palatino Linotype"/>
          <w:sz w:val="22"/>
        </w:rPr>
        <w:t>de dados provenientes</w:t>
      </w:r>
      <w:r w:rsidR="009C47B5" w:rsidRPr="009D3FAB">
        <w:rPr>
          <w:rFonts w:ascii="Palatino Linotype" w:hAnsi="Palatino Linotype"/>
          <w:sz w:val="22"/>
        </w:rPr>
        <w:t xml:space="preserve"> d</w:t>
      </w:r>
      <w:r w:rsidR="006D5D78" w:rsidRPr="009D3FAB">
        <w:rPr>
          <w:rFonts w:ascii="Palatino Linotype" w:hAnsi="Palatino Linotype"/>
          <w:sz w:val="22"/>
        </w:rPr>
        <w:t xml:space="preserve">as matrizes curriculares </w:t>
      </w:r>
      <w:r w:rsidR="009C47B5" w:rsidRPr="009D3FAB">
        <w:rPr>
          <w:rFonts w:ascii="Palatino Linotype" w:hAnsi="Palatino Linotype"/>
          <w:sz w:val="22"/>
        </w:rPr>
        <w:t xml:space="preserve">das instituições de ensino. A abordagem foi qualitativa, com a utilização de análise </w:t>
      </w:r>
      <w:r w:rsidR="006D5D78" w:rsidRPr="009D3FAB">
        <w:rPr>
          <w:rFonts w:ascii="Palatino Linotype" w:hAnsi="Palatino Linotype"/>
          <w:sz w:val="22"/>
        </w:rPr>
        <w:t xml:space="preserve">de </w:t>
      </w:r>
      <w:r w:rsidR="009C47B5" w:rsidRPr="009D3FAB">
        <w:rPr>
          <w:rFonts w:ascii="Palatino Linotype" w:hAnsi="Palatino Linotype"/>
          <w:sz w:val="22"/>
        </w:rPr>
        <w:t xml:space="preserve">conteúdo para responder </w:t>
      </w:r>
      <w:r w:rsidR="00F54D13" w:rsidRPr="009D3FAB">
        <w:rPr>
          <w:rFonts w:ascii="Palatino Linotype" w:hAnsi="Palatino Linotype"/>
          <w:sz w:val="22"/>
        </w:rPr>
        <w:t>à</w:t>
      </w:r>
      <w:r w:rsidR="009C47B5" w:rsidRPr="009D3FAB">
        <w:rPr>
          <w:rFonts w:ascii="Palatino Linotype" w:hAnsi="Palatino Linotype"/>
          <w:sz w:val="22"/>
        </w:rPr>
        <w:t xml:space="preserve"> questão de pesquisa.</w:t>
      </w:r>
    </w:p>
    <w:p w:rsidR="006D5D78" w:rsidRPr="009D3FAB" w:rsidRDefault="009C47B5" w:rsidP="00BE160E">
      <w:pPr>
        <w:autoSpaceDE w:val="0"/>
        <w:autoSpaceDN w:val="0"/>
        <w:adjustRightInd w:val="0"/>
        <w:rPr>
          <w:rFonts w:ascii="Palatino Linotype" w:hAnsi="Palatino Linotype"/>
          <w:sz w:val="22"/>
        </w:rPr>
      </w:pPr>
      <w:r w:rsidRPr="009D3FAB">
        <w:rPr>
          <w:rFonts w:ascii="Palatino Linotype" w:hAnsi="Palatino Linotype"/>
          <w:sz w:val="22"/>
        </w:rPr>
        <w:t>A população</w:t>
      </w:r>
      <w:r w:rsidR="00894469" w:rsidRPr="009D3FAB">
        <w:rPr>
          <w:rFonts w:ascii="Palatino Linotype" w:hAnsi="Palatino Linotype"/>
          <w:sz w:val="22"/>
        </w:rPr>
        <w:t xml:space="preserve"> e a amostra</w:t>
      </w:r>
      <w:r w:rsidRPr="009D3FAB">
        <w:rPr>
          <w:rFonts w:ascii="Palatino Linotype" w:hAnsi="Palatino Linotype"/>
          <w:sz w:val="22"/>
        </w:rPr>
        <w:t xml:space="preserve"> da pesquisa </w:t>
      </w:r>
      <w:r w:rsidR="00EE2CCD" w:rsidRPr="009D3FAB">
        <w:rPr>
          <w:rFonts w:ascii="Palatino Linotype" w:hAnsi="Palatino Linotype"/>
          <w:sz w:val="22"/>
        </w:rPr>
        <w:t>foram</w:t>
      </w:r>
      <w:r w:rsidRPr="009D3FAB">
        <w:rPr>
          <w:rFonts w:ascii="Palatino Linotype" w:hAnsi="Palatino Linotype"/>
          <w:sz w:val="22"/>
        </w:rPr>
        <w:t xml:space="preserve"> </w:t>
      </w:r>
      <w:r w:rsidR="00EE2CCD" w:rsidRPr="009D3FAB">
        <w:rPr>
          <w:rFonts w:ascii="Palatino Linotype" w:hAnsi="Palatino Linotype"/>
          <w:sz w:val="22"/>
        </w:rPr>
        <w:t>compostas</w:t>
      </w:r>
      <w:r w:rsidRPr="009D3FAB">
        <w:rPr>
          <w:rFonts w:ascii="Palatino Linotype" w:hAnsi="Palatino Linotype"/>
          <w:sz w:val="22"/>
        </w:rPr>
        <w:t xml:space="preserve"> p</w:t>
      </w:r>
      <w:r w:rsidR="00894469" w:rsidRPr="009D3FAB">
        <w:rPr>
          <w:rFonts w:ascii="Palatino Linotype" w:hAnsi="Palatino Linotype"/>
          <w:sz w:val="22"/>
        </w:rPr>
        <w:t xml:space="preserve">elas </w:t>
      </w:r>
      <w:r w:rsidRPr="009D3FAB">
        <w:rPr>
          <w:rFonts w:ascii="Palatino Linotype" w:hAnsi="Palatino Linotype"/>
          <w:sz w:val="22"/>
        </w:rPr>
        <w:t xml:space="preserve">16 instituições de ensino </w:t>
      </w:r>
      <w:r w:rsidR="006D5D78" w:rsidRPr="009D3FAB">
        <w:rPr>
          <w:rFonts w:ascii="Palatino Linotype" w:hAnsi="Palatino Linotype"/>
          <w:sz w:val="22"/>
        </w:rPr>
        <w:t xml:space="preserve">filiadas à </w:t>
      </w:r>
      <w:r w:rsidRPr="009D3FAB">
        <w:rPr>
          <w:rFonts w:ascii="Palatino Linotype" w:hAnsi="Palatino Linotype"/>
          <w:sz w:val="22"/>
        </w:rPr>
        <w:t>Associação Catarinense das Fundações Educacionais (ACAFE)</w:t>
      </w:r>
      <w:r w:rsidR="006D5D78" w:rsidRPr="009D3FAB">
        <w:rPr>
          <w:rFonts w:ascii="Palatino Linotype" w:hAnsi="Palatino Linotype"/>
          <w:sz w:val="22"/>
        </w:rPr>
        <w:t xml:space="preserve">, a qual foi criada em 1974, a partir da iniciativa dos dirigentes das próprias fundações, como instituição responsável pela consolidação do processo de organização, expansão e interiorização do ensino superior fundacional, </w:t>
      </w:r>
    </w:p>
    <w:p w:rsidR="006D5D78" w:rsidRPr="009D3FAB" w:rsidRDefault="006D5D78" w:rsidP="00BE160E">
      <w:pPr>
        <w:autoSpaceDE w:val="0"/>
        <w:autoSpaceDN w:val="0"/>
        <w:adjustRightInd w:val="0"/>
        <w:rPr>
          <w:rFonts w:ascii="Palatino Linotype" w:hAnsi="Palatino Linotype"/>
          <w:sz w:val="22"/>
          <w:lang w:eastAsia="pt-BR"/>
        </w:rPr>
      </w:pPr>
      <w:r w:rsidRPr="009D3FAB">
        <w:rPr>
          <w:rFonts w:ascii="Palatino Linotype" w:hAnsi="Palatino Linotype"/>
          <w:sz w:val="22"/>
        </w:rPr>
        <w:t xml:space="preserve">Em síntese, </w:t>
      </w:r>
      <w:r w:rsidRPr="009D3FAB">
        <w:rPr>
          <w:rFonts w:ascii="Palatino Linotype" w:hAnsi="Palatino Linotype"/>
          <w:sz w:val="22"/>
          <w:lang w:eastAsia="pt-BR"/>
        </w:rPr>
        <w:t xml:space="preserve">o ensino superior no Estado de Santa Catarina foi desenvolvido com base em um modelo diferente do presente em outras unidades da federação. Com a presença de uma única universidade federal, foram criadas por alguns municípios catarinenses fundações educacionais estabelecidas por leis municipais. São entidades públicas sem fins lucrativos, mas de direito privado, ou seja, embora tenham sua origem como entidades públicas, não recebem nenhuma subvenção do poder público e sobrevivem com a cobrança de mensalidade de seus alunos (KLANN </w:t>
      </w:r>
      <w:r w:rsidR="009117C8" w:rsidRPr="009D3FAB">
        <w:rPr>
          <w:rFonts w:ascii="Palatino Linotype" w:hAnsi="Palatino Linotype"/>
          <w:sz w:val="22"/>
          <w:lang w:eastAsia="pt-BR"/>
        </w:rPr>
        <w:t>et al.</w:t>
      </w:r>
      <w:r w:rsidR="00A23742" w:rsidRPr="009D3FAB">
        <w:rPr>
          <w:rFonts w:ascii="Palatino Linotype" w:hAnsi="Palatino Linotype"/>
          <w:sz w:val="22"/>
          <w:lang w:eastAsia="pt-BR"/>
        </w:rPr>
        <w:t>,</w:t>
      </w:r>
      <w:r w:rsidRPr="009D3FAB">
        <w:rPr>
          <w:rFonts w:ascii="Palatino Linotype" w:hAnsi="Palatino Linotype"/>
          <w:sz w:val="22"/>
          <w:lang w:eastAsia="pt-BR"/>
        </w:rPr>
        <w:t xml:space="preserve"> 2012).</w:t>
      </w:r>
    </w:p>
    <w:p w:rsidR="00C238E4" w:rsidRPr="009D3FAB" w:rsidRDefault="00C238E4" w:rsidP="00BE160E">
      <w:pPr>
        <w:rPr>
          <w:rFonts w:ascii="Palatino Linotype" w:hAnsi="Palatino Linotype"/>
          <w:sz w:val="22"/>
        </w:rPr>
      </w:pPr>
      <w:r w:rsidRPr="009D3FAB">
        <w:rPr>
          <w:rFonts w:ascii="Palatino Linotype" w:hAnsi="Palatino Linotype"/>
          <w:sz w:val="22"/>
        </w:rPr>
        <w:t>A escolha pelas instituições da ACAFE se deu em função da pesquisa d</w:t>
      </w:r>
      <w:r w:rsidR="006D5D78" w:rsidRPr="009D3FAB">
        <w:rPr>
          <w:rFonts w:ascii="Palatino Linotype" w:hAnsi="Palatino Linotype"/>
          <w:sz w:val="22"/>
        </w:rPr>
        <w:t>e</w:t>
      </w:r>
      <w:r w:rsidRPr="009D3FAB">
        <w:rPr>
          <w:rFonts w:ascii="Palatino Linotype" w:hAnsi="Palatino Linotype"/>
          <w:sz w:val="22"/>
        </w:rPr>
        <w:t xml:space="preserve"> </w:t>
      </w:r>
      <w:proofErr w:type="spellStart"/>
      <w:r w:rsidR="00113F28" w:rsidRPr="009D3FAB">
        <w:rPr>
          <w:rFonts w:ascii="Palatino Linotype" w:hAnsi="Palatino Linotype"/>
          <w:sz w:val="22"/>
          <w:shd w:val="clear" w:color="auto" w:fill="FFFFFF"/>
        </w:rPr>
        <w:t>Czesnat</w:t>
      </w:r>
      <w:proofErr w:type="spellEnd"/>
      <w:r w:rsidR="00113F28" w:rsidRPr="009D3FAB">
        <w:rPr>
          <w:rFonts w:ascii="Palatino Linotype" w:hAnsi="Palatino Linotype"/>
          <w:sz w:val="22"/>
          <w:shd w:val="clear" w:color="auto" w:fill="FFFFFF"/>
        </w:rPr>
        <w:t>, Cunha e Domingues (2009)</w:t>
      </w:r>
      <w:r w:rsidRPr="009D3FAB">
        <w:rPr>
          <w:rFonts w:ascii="Palatino Linotype" w:hAnsi="Palatino Linotype"/>
          <w:sz w:val="22"/>
        </w:rPr>
        <w:t xml:space="preserve">, </w:t>
      </w:r>
      <w:r w:rsidR="006D5D78" w:rsidRPr="009D3FAB">
        <w:rPr>
          <w:rFonts w:ascii="Palatino Linotype" w:hAnsi="Palatino Linotype"/>
          <w:sz w:val="22"/>
        </w:rPr>
        <w:t xml:space="preserve">os quais </w:t>
      </w:r>
      <w:r w:rsidRPr="009D3FAB">
        <w:rPr>
          <w:rFonts w:ascii="Palatino Linotype" w:hAnsi="Palatino Linotype"/>
          <w:sz w:val="22"/>
        </w:rPr>
        <w:t>mencionaram nos seus achados que apenas quatro das 11 universidades pesquisadas apresenta</w:t>
      </w:r>
      <w:r w:rsidR="006D5D78" w:rsidRPr="009D3FAB">
        <w:rPr>
          <w:rFonts w:ascii="Palatino Linotype" w:hAnsi="Palatino Linotype"/>
          <w:sz w:val="22"/>
        </w:rPr>
        <w:t>va</w:t>
      </w:r>
      <w:r w:rsidRPr="009D3FAB">
        <w:rPr>
          <w:rFonts w:ascii="Palatino Linotype" w:hAnsi="Palatino Linotype"/>
          <w:sz w:val="22"/>
        </w:rPr>
        <w:t>m a disciplina Contabilidade Internacional como obrigatória em s</w:t>
      </w:r>
      <w:r w:rsidR="006D5D78" w:rsidRPr="009D3FAB">
        <w:rPr>
          <w:rFonts w:ascii="Palatino Linotype" w:hAnsi="Palatino Linotype"/>
          <w:sz w:val="22"/>
        </w:rPr>
        <w:t>uas matrizes curriculares</w:t>
      </w:r>
      <w:r w:rsidRPr="009D3FAB">
        <w:rPr>
          <w:rFonts w:ascii="Palatino Linotype" w:hAnsi="Palatino Linotype"/>
          <w:sz w:val="22"/>
        </w:rPr>
        <w:t>. Vale ressaltar também</w:t>
      </w:r>
      <w:r w:rsidR="006D5D78" w:rsidRPr="009D3FAB">
        <w:rPr>
          <w:rFonts w:ascii="Palatino Linotype" w:hAnsi="Palatino Linotype"/>
          <w:sz w:val="22"/>
        </w:rPr>
        <w:t xml:space="preserve"> que </w:t>
      </w:r>
      <w:r w:rsidRPr="009D3FAB">
        <w:rPr>
          <w:rFonts w:ascii="Palatino Linotype" w:hAnsi="Palatino Linotype"/>
          <w:sz w:val="22"/>
        </w:rPr>
        <w:t>atualmente</w:t>
      </w:r>
      <w:r w:rsidR="006D5D78" w:rsidRPr="009D3FAB">
        <w:rPr>
          <w:rFonts w:ascii="Palatino Linotype" w:hAnsi="Palatino Linotype"/>
          <w:sz w:val="22"/>
        </w:rPr>
        <w:t xml:space="preserve"> </w:t>
      </w:r>
      <w:r w:rsidRPr="009D3FAB">
        <w:rPr>
          <w:rFonts w:ascii="Palatino Linotype" w:hAnsi="Palatino Linotype"/>
          <w:sz w:val="22"/>
        </w:rPr>
        <w:t xml:space="preserve">o Sistema ACAFE </w:t>
      </w:r>
      <w:r w:rsidR="00664D7E" w:rsidRPr="009D3FAB">
        <w:rPr>
          <w:rFonts w:ascii="Palatino Linotype" w:hAnsi="Palatino Linotype"/>
          <w:sz w:val="22"/>
        </w:rPr>
        <w:t xml:space="preserve">conta com 16 </w:t>
      </w:r>
      <w:proofErr w:type="spellStart"/>
      <w:r w:rsidR="00664D7E" w:rsidRPr="009D3FAB">
        <w:rPr>
          <w:rFonts w:ascii="Palatino Linotype" w:hAnsi="Palatino Linotype"/>
          <w:sz w:val="22"/>
        </w:rPr>
        <w:t>IESs</w:t>
      </w:r>
      <w:proofErr w:type="spellEnd"/>
      <w:r w:rsidR="00664D7E" w:rsidRPr="009D3FAB">
        <w:rPr>
          <w:rFonts w:ascii="Palatino Linotype" w:hAnsi="Palatino Linotype"/>
          <w:sz w:val="22"/>
        </w:rPr>
        <w:t xml:space="preserve"> filiadas</w:t>
      </w:r>
      <w:r w:rsidR="00894469" w:rsidRPr="009D3FAB">
        <w:rPr>
          <w:rFonts w:ascii="Palatino Linotype" w:hAnsi="Palatino Linotype"/>
          <w:sz w:val="22"/>
        </w:rPr>
        <w:t>, as quais estão apresentadas no Quadro 2</w:t>
      </w:r>
      <w:r w:rsidRPr="009D3FAB">
        <w:rPr>
          <w:rFonts w:ascii="Palatino Linotype" w:hAnsi="Palatino Linotype"/>
          <w:sz w:val="22"/>
        </w:rPr>
        <w:t xml:space="preserve">. </w:t>
      </w:r>
    </w:p>
    <w:p w:rsidR="007C1389" w:rsidRPr="0070772A" w:rsidRDefault="007C1389" w:rsidP="00BE160E">
      <w:pPr>
        <w:shd w:val="clear" w:color="auto" w:fill="FFFFFF"/>
        <w:jc w:val="center"/>
        <w:rPr>
          <w:rFonts w:ascii="Palatino Linotype" w:eastAsia="Times New Roman" w:hAnsi="Palatino Linotype"/>
          <w:b/>
          <w:sz w:val="22"/>
          <w:lang w:eastAsia="pt-BR"/>
        </w:rPr>
      </w:pP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6"/>
        <w:gridCol w:w="2053"/>
      </w:tblGrid>
      <w:tr w:rsidR="00051BCD" w:rsidRPr="0070772A" w:rsidTr="00C2372A">
        <w:trPr>
          <w:trHeight w:val="57"/>
        </w:trPr>
        <w:tc>
          <w:tcPr>
            <w:tcW w:w="5000" w:type="pct"/>
            <w:gridSpan w:val="2"/>
            <w:tcBorders>
              <w:top w:val="nil"/>
              <w:left w:val="nil"/>
              <w:bottom w:val="single" w:sz="4" w:space="0" w:color="auto"/>
              <w:right w:val="nil"/>
            </w:tcBorders>
            <w:shd w:val="clear" w:color="auto" w:fill="auto"/>
            <w:noWrap/>
          </w:tcPr>
          <w:p w:rsidR="00051BCD" w:rsidRPr="0070772A" w:rsidRDefault="00051BCD" w:rsidP="00BE160E">
            <w:pPr>
              <w:ind w:firstLine="0"/>
              <w:jc w:val="center"/>
              <w:rPr>
                <w:rFonts w:ascii="Palatino Linotype" w:hAnsi="Palatino Linotype"/>
                <w:b/>
                <w:bCs/>
                <w:sz w:val="18"/>
                <w:szCs w:val="18"/>
              </w:rPr>
            </w:pPr>
            <w:r w:rsidRPr="0070772A">
              <w:rPr>
                <w:rFonts w:ascii="Palatino Linotype" w:eastAsia="Times New Roman" w:hAnsi="Palatino Linotype"/>
                <w:b/>
                <w:sz w:val="18"/>
                <w:szCs w:val="18"/>
                <w:lang w:eastAsia="pt-BR"/>
              </w:rPr>
              <w:t>Quadro 2 – População e amostra do estudo</w:t>
            </w:r>
          </w:p>
        </w:tc>
      </w:tr>
      <w:tr w:rsidR="0070772A" w:rsidRPr="0070772A" w:rsidTr="00C2372A">
        <w:trPr>
          <w:trHeight w:val="57"/>
        </w:trPr>
        <w:tc>
          <w:tcPr>
            <w:tcW w:w="3853" w:type="pct"/>
            <w:tcBorders>
              <w:top w:val="single" w:sz="4" w:space="0" w:color="auto"/>
            </w:tcBorders>
            <w:shd w:val="clear" w:color="auto" w:fill="auto"/>
            <w:noWrap/>
            <w:hideMark/>
          </w:tcPr>
          <w:p w:rsidR="004F11AF" w:rsidRPr="0070772A" w:rsidRDefault="007C1389" w:rsidP="00BE160E">
            <w:pPr>
              <w:ind w:firstLine="0"/>
              <w:jc w:val="center"/>
              <w:rPr>
                <w:rFonts w:ascii="Palatino Linotype" w:hAnsi="Palatino Linotype"/>
                <w:b/>
                <w:bCs/>
                <w:sz w:val="18"/>
                <w:szCs w:val="18"/>
              </w:rPr>
            </w:pPr>
            <w:r w:rsidRPr="0070772A">
              <w:rPr>
                <w:rFonts w:ascii="Palatino Linotype" w:hAnsi="Palatino Linotype"/>
                <w:b/>
                <w:bCs/>
                <w:sz w:val="18"/>
                <w:szCs w:val="18"/>
              </w:rPr>
              <w:t>Instituições</w:t>
            </w:r>
          </w:p>
        </w:tc>
        <w:tc>
          <w:tcPr>
            <w:tcW w:w="1147" w:type="pct"/>
            <w:tcBorders>
              <w:top w:val="single" w:sz="4" w:space="0" w:color="auto"/>
            </w:tcBorders>
            <w:shd w:val="clear" w:color="auto" w:fill="auto"/>
            <w:noWrap/>
            <w:hideMark/>
          </w:tcPr>
          <w:p w:rsidR="004F11AF" w:rsidRPr="0070772A" w:rsidRDefault="004F11AF" w:rsidP="00BE160E">
            <w:pPr>
              <w:ind w:firstLine="0"/>
              <w:jc w:val="center"/>
              <w:rPr>
                <w:rFonts w:ascii="Palatino Linotype" w:hAnsi="Palatino Linotype"/>
                <w:b/>
                <w:bCs/>
                <w:sz w:val="18"/>
                <w:szCs w:val="18"/>
              </w:rPr>
            </w:pPr>
            <w:r w:rsidRPr="0070772A">
              <w:rPr>
                <w:rFonts w:ascii="Palatino Linotype" w:hAnsi="Palatino Linotype"/>
                <w:b/>
                <w:bCs/>
                <w:sz w:val="18"/>
                <w:szCs w:val="18"/>
              </w:rPr>
              <w:t>Nomenclatura</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Católica de Santa Catarina</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CATÓLICA SC</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Centro Universitário Barriga Verde</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 xml:space="preserve">UNIBAVE </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lastRenderedPageBreak/>
              <w:t>Centro Universitário Municipal de São José</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USJ</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Centro Universitário para o Desenvolvimento do Alto Vale do Itajaí</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UNIDAVI</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Comunitária da Região de Chapecó</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UNOCHAPECÓ</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da Região de Joinville</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UNIVILLE</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do Alto Vale do Rio do Peixe</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UNIARP</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do Contestado</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UnC</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do Estado de Santa Catarina</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 xml:space="preserve">UDESC </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do Extremo Sul Catarinense</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UNESC</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do Oeste de Santa Catarina</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 xml:space="preserve">UNOESC </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do Planalto Catarinense</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UNIPLAC</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do Sul de Santa Catarina</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 xml:space="preserve">UNISUL </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do Vale do Itajaí</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UNIVALI</w:t>
            </w:r>
          </w:p>
        </w:tc>
      </w:tr>
      <w:tr w:rsidR="0070772A"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Universidade Regional de Blumenau</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 xml:space="preserve">FURB </w:t>
            </w:r>
          </w:p>
        </w:tc>
      </w:tr>
      <w:tr w:rsidR="004F11AF" w:rsidRPr="0070772A" w:rsidTr="003F0E02">
        <w:trPr>
          <w:trHeight w:val="57"/>
        </w:trPr>
        <w:tc>
          <w:tcPr>
            <w:tcW w:w="3853" w:type="pct"/>
            <w:shd w:val="clear" w:color="auto" w:fill="auto"/>
            <w:noWrap/>
            <w:vAlign w:val="center"/>
            <w:hideMark/>
          </w:tcPr>
          <w:p w:rsidR="004F11AF" w:rsidRPr="0070772A" w:rsidRDefault="007C1389" w:rsidP="00BE160E">
            <w:pPr>
              <w:ind w:firstLine="0"/>
              <w:jc w:val="left"/>
              <w:rPr>
                <w:rFonts w:ascii="Palatino Linotype" w:hAnsi="Palatino Linotype"/>
                <w:sz w:val="18"/>
                <w:szCs w:val="18"/>
              </w:rPr>
            </w:pPr>
            <w:r w:rsidRPr="0070772A">
              <w:rPr>
                <w:rFonts w:ascii="Palatino Linotype" w:hAnsi="Palatino Linotype"/>
                <w:sz w:val="18"/>
                <w:szCs w:val="18"/>
              </w:rPr>
              <w:t>Centro Universitário de Brusque</w:t>
            </w:r>
          </w:p>
        </w:tc>
        <w:tc>
          <w:tcPr>
            <w:tcW w:w="1147" w:type="pct"/>
            <w:shd w:val="clear" w:color="auto" w:fill="auto"/>
            <w:noWrap/>
            <w:vAlign w:val="center"/>
            <w:hideMark/>
          </w:tcPr>
          <w:p w:rsidR="004F11AF" w:rsidRPr="0070772A" w:rsidRDefault="004F11AF" w:rsidP="00BE160E">
            <w:pPr>
              <w:ind w:firstLine="0"/>
              <w:jc w:val="left"/>
              <w:rPr>
                <w:rFonts w:ascii="Palatino Linotype" w:hAnsi="Palatino Linotype"/>
                <w:sz w:val="18"/>
                <w:szCs w:val="18"/>
              </w:rPr>
            </w:pPr>
            <w:r w:rsidRPr="0070772A">
              <w:rPr>
                <w:rFonts w:ascii="Palatino Linotype" w:hAnsi="Palatino Linotype"/>
                <w:sz w:val="18"/>
                <w:szCs w:val="18"/>
              </w:rPr>
              <w:t>UNI</w:t>
            </w:r>
            <w:r w:rsidR="00605611" w:rsidRPr="0070772A">
              <w:rPr>
                <w:rFonts w:ascii="Palatino Linotype" w:hAnsi="Palatino Linotype"/>
                <w:sz w:val="18"/>
                <w:szCs w:val="18"/>
              </w:rPr>
              <w:t>FEBE</w:t>
            </w:r>
          </w:p>
        </w:tc>
      </w:tr>
    </w:tbl>
    <w:p w:rsidR="007C1389" w:rsidRPr="0070772A" w:rsidRDefault="003A073F" w:rsidP="00BE160E">
      <w:pPr>
        <w:ind w:firstLine="0"/>
        <w:rPr>
          <w:rFonts w:ascii="Palatino Linotype" w:hAnsi="Palatino Linotype"/>
          <w:sz w:val="18"/>
          <w:szCs w:val="18"/>
        </w:rPr>
      </w:pPr>
      <w:r w:rsidRPr="0070772A">
        <w:rPr>
          <w:rFonts w:ascii="Palatino Linotype" w:hAnsi="Palatino Linotype"/>
          <w:sz w:val="18"/>
          <w:szCs w:val="18"/>
        </w:rPr>
        <w:t>Fonte: dados da pesquisa</w:t>
      </w:r>
      <w:r w:rsidR="007C1389" w:rsidRPr="0070772A">
        <w:rPr>
          <w:rFonts w:ascii="Palatino Linotype" w:hAnsi="Palatino Linotype"/>
          <w:sz w:val="18"/>
          <w:szCs w:val="18"/>
        </w:rPr>
        <w:t>.</w:t>
      </w:r>
    </w:p>
    <w:p w:rsidR="003717F5" w:rsidRDefault="003717F5" w:rsidP="00BE160E">
      <w:pPr>
        <w:rPr>
          <w:rFonts w:ascii="Palatino Linotype" w:hAnsi="Palatino Linotype"/>
          <w:sz w:val="22"/>
        </w:rPr>
      </w:pPr>
    </w:p>
    <w:p w:rsidR="00C238E4" w:rsidRPr="0070772A" w:rsidRDefault="00C238E4" w:rsidP="00BE160E">
      <w:pPr>
        <w:rPr>
          <w:rFonts w:ascii="Palatino Linotype" w:hAnsi="Palatino Linotype"/>
          <w:sz w:val="22"/>
        </w:rPr>
      </w:pPr>
      <w:r w:rsidRPr="0070772A">
        <w:rPr>
          <w:rFonts w:ascii="Palatino Linotype" w:hAnsi="Palatino Linotype"/>
          <w:sz w:val="22"/>
        </w:rPr>
        <w:t>Definida a amostra do estudo, partiu-se para a coleta de dados nos portais eletrônicos das IES</w:t>
      </w:r>
      <w:r w:rsidR="0058245E" w:rsidRPr="0070772A">
        <w:rPr>
          <w:rFonts w:ascii="Palatino Linotype" w:hAnsi="Palatino Linotype"/>
          <w:sz w:val="22"/>
        </w:rPr>
        <w:t xml:space="preserve"> pesquisadas, bem como no </w:t>
      </w:r>
      <w:r w:rsidR="0058245E" w:rsidRPr="0070772A">
        <w:rPr>
          <w:rFonts w:ascii="Palatino Linotype" w:hAnsi="Palatino Linotype"/>
          <w:i/>
          <w:sz w:val="22"/>
        </w:rPr>
        <w:t>site</w:t>
      </w:r>
      <w:r w:rsidR="0058245E" w:rsidRPr="0070772A">
        <w:rPr>
          <w:rFonts w:ascii="Palatino Linotype" w:hAnsi="Palatino Linotype"/>
          <w:sz w:val="22"/>
        </w:rPr>
        <w:t xml:space="preserve"> da UNCTAC </w:t>
      </w:r>
      <w:r w:rsidR="00894469" w:rsidRPr="0070772A">
        <w:rPr>
          <w:rFonts w:ascii="Palatino Linotype" w:hAnsi="Palatino Linotype"/>
          <w:sz w:val="22"/>
        </w:rPr>
        <w:t>em relação à</w:t>
      </w:r>
      <w:r w:rsidR="0058245E" w:rsidRPr="0070772A">
        <w:rPr>
          <w:rFonts w:ascii="Palatino Linotype" w:hAnsi="Palatino Linotype"/>
          <w:sz w:val="22"/>
        </w:rPr>
        <w:t xml:space="preserve"> composição do Currículo Mundial e suas áreas de conhecimento.</w:t>
      </w:r>
      <w:r w:rsidR="008E3C1A" w:rsidRPr="0070772A">
        <w:rPr>
          <w:rFonts w:ascii="Palatino Linotype" w:hAnsi="Palatino Linotype"/>
          <w:sz w:val="22"/>
        </w:rPr>
        <w:t xml:space="preserve"> </w:t>
      </w:r>
      <w:r w:rsidR="0058245E" w:rsidRPr="0070772A">
        <w:rPr>
          <w:rFonts w:ascii="Palatino Linotype" w:hAnsi="Palatino Linotype"/>
          <w:sz w:val="22"/>
        </w:rPr>
        <w:t xml:space="preserve">A coleta de dados </w:t>
      </w:r>
      <w:r w:rsidR="00894469" w:rsidRPr="0070772A">
        <w:rPr>
          <w:rFonts w:ascii="Palatino Linotype" w:hAnsi="Palatino Linotype"/>
          <w:sz w:val="22"/>
        </w:rPr>
        <w:t xml:space="preserve">foi realizada </w:t>
      </w:r>
      <w:r w:rsidR="0058245E" w:rsidRPr="0070772A">
        <w:rPr>
          <w:rFonts w:ascii="Palatino Linotype" w:hAnsi="Palatino Linotype"/>
          <w:sz w:val="22"/>
        </w:rPr>
        <w:t xml:space="preserve">no período de novembro a dezembro de 2014. </w:t>
      </w:r>
    </w:p>
    <w:p w:rsidR="0058245E" w:rsidRPr="0070772A" w:rsidRDefault="0058245E" w:rsidP="00BE160E">
      <w:pPr>
        <w:rPr>
          <w:rFonts w:ascii="Palatino Linotype" w:hAnsi="Palatino Linotype"/>
          <w:sz w:val="22"/>
        </w:rPr>
      </w:pPr>
      <w:r w:rsidRPr="0070772A">
        <w:rPr>
          <w:rFonts w:ascii="Palatino Linotype" w:hAnsi="Palatino Linotype"/>
          <w:sz w:val="22"/>
        </w:rPr>
        <w:t xml:space="preserve">A análise dos dados foi realizada pela comparação entre as disciplinas que compõem </w:t>
      </w:r>
      <w:r w:rsidR="00894469" w:rsidRPr="0070772A">
        <w:rPr>
          <w:rFonts w:ascii="Palatino Linotype" w:hAnsi="Palatino Linotype"/>
          <w:sz w:val="22"/>
        </w:rPr>
        <w:t xml:space="preserve">as matrizes curriculares </w:t>
      </w:r>
      <w:r w:rsidRPr="0070772A">
        <w:rPr>
          <w:rFonts w:ascii="Palatino Linotype" w:hAnsi="Palatino Linotype"/>
          <w:sz w:val="22"/>
        </w:rPr>
        <w:t xml:space="preserve">das universidades pertencentes </w:t>
      </w:r>
      <w:r w:rsidR="00894469" w:rsidRPr="0070772A">
        <w:rPr>
          <w:rFonts w:ascii="Palatino Linotype" w:hAnsi="Palatino Linotype"/>
          <w:sz w:val="22"/>
        </w:rPr>
        <w:t>à</w:t>
      </w:r>
      <w:r w:rsidRPr="0070772A">
        <w:rPr>
          <w:rFonts w:ascii="Palatino Linotype" w:hAnsi="Palatino Linotype"/>
          <w:sz w:val="22"/>
        </w:rPr>
        <w:t xml:space="preserve"> amostra, com </w:t>
      </w:r>
      <w:r w:rsidR="00894469" w:rsidRPr="0070772A">
        <w:rPr>
          <w:rFonts w:ascii="Palatino Linotype" w:hAnsi="Palatino Linotype"/>
          <w:sz w:val="22"/>
        </w:rPr>
        <w:t xml:space="preserve">àquelas </w:t>
      </w:r>
      <w:r w:rsidRPr="0070772A">
        <w:rPr>
          <w:rFonts w:ascii="Palatino Linotype" w:hAnsi="Palatino Linotype"/>
          <w:sz w:val="22"/>
        </w:rPr>
        <w:t>sugeridas no Currí</w:t>
      </w:r>
      <w:r w:rsidR="006821DE" w:rsidRPr="0070772A">
        <w:rPr>
          <w:rFonts w:ascii="Palatino Linotype" w:hAnsi="Palatino Linotype"/>
          <w:sz w:val="22"/>
        </w:rPr>
        <w:t xml:space="preserve">culo Mundial. </w:t>
      </w:r>
      <w:r w:rsidR="00894469" w:rsidRPr="0070772A">
        <w:rPr>
          <w:rFonts w:ascii="Palatino Linotype" w:hAnsi="Palatino Linotype"/>
          <w:sz w:val="22"/>
        </w:rPr>
        <w:t xml:space="preserve">A análise se deu em função </w:t>
      </w:r>
      <w:r w:rsidRPr="0070772A">
        <w:rPr>
          <w:rFonts w:ascii="Palatino Linotype" w:hAnsi="Palatino Linotype"/>
          <w:sz w:val="22"/>
        </w:rPr>
        <w:t>da similaridade ou proximidade entre os nomes dados às disciplinas</w:t>
      </w:r>
      <w:r w:rsidR="00867C68" w:rsidRPr="0070772A">
        <w:rPr>
          <w:rFonts w:ascii="Palatino Linotype" w:hAnsi="Palatino Linotype"/>
          <w:sz w:val="22"/>
        </w:rPr>
        <w:t xml:space="preserve"> e </w:t>
      </w:r>
      <w:r w:rsidR="00A23742" w:rsidRPr="0070772A">
        <w:rPr>
          <w:rFonts w:ascii="Palatino Linotype" w:hAnsi="Palatino Linotype"/>
          <w:sz w:val="22"/>
        </w:rPr>
        <w:t xml:space="preserve">em relação </w:t>
      </w:r>
      <w:r w:rsidR="001C67D4" w:rsidRPr="0070772A">
        <w:rPr>
          <w:rFonts w:ascii="Palatino Linotype" w:hAnsi="Palatino Linotype"/>
          <w:sz w:val="22"/>
        </w:rPr>
        <w:t>aos conteúdos</w:t>
      </w:r>
      <w:r w:rsidR="00A23742" w:rsidRPr="0070772A">
        <w:rPr>
          <w:rFonts w:ascii="Palatino Linotype" w:hAnsi="Palatino Linotype"/>
          <w:sz w:val="22"/>
        </w:rPr>
        <w:t xml:space="preserve"> d</w:t>
      </w:r>
      <w:r w:rsidR="00867C68" w:rsidRPr="0070772A">
        <w:rPr>
          <w:rFonts w:ascii="Palatino Linotype" w:hAnsi="Palatino Linotype"/>
          <w:sz w:val="22"/>
        </w:rPr>
        <w:t xml:space="preserve">as ementas. </w:t>
      </w:r>
    </w:p>
    <w:p w:rsidR="000823D5" w:rsidRPr="0070772A" w:rsidRDefault="000823D5" w:rsidP="000823D5">
      <w:pPr>
        <w:rPr>
          <w:rFonts w:ascii="Palatino Linotype" w:hAnsi="Palatino Linotype"/>
          <w:sz w:val="22"/>
        </w:rPr>
      </w:pPr>
      <w:r w:rsidRPr="0070772A">
        <w:rPr>
          <w:rFonts w:ascii="Palatino Linotype" w:hAnsi="Palatino Linotype"/>
          <w:sz w:val="22"/>
        </w:rPr>
        <w:t>As limitações sobre a forma de coleta das informações podem ter influência sobre os resultados encontrados, no entanto, para comparar se as IES estão em consonância com a matriz curricular proposta pela ONU/UNCTAD/ISAR</w:t>
      </w:r>
      <w:r w:rsidR="001D5968" w:rsidRPr="0070772A">
        <w:rPr>
          <w:rFonts w:ascii="Palatino Linotype" w:hAnsi="Palatino Linotype"/>
          <w:sz w:val="22"/>
        </w:rPr>
        <w:t>, a forma que se procedeu a pesquisa não tira o seu grau de importância.</w:t>
      </w:r>
    </w:p>
    <w:p w:rsidR="00EC5BBB" w:rsidRPr="0070772A" w:rsidRDefault="00EC5BBB" w:rsidP="00BE160E">
      <w:pPr>
        <w:rPr>
          <w:rFonts w:ascii="Palatino Linotype" w:hAnsi="Palatino Linotype"/>
          <w:sz w:val="22"/>
        </w:rPr>
      </w:pPr>
    </w:p>
    <w:p w:rsidR="00F567FB" w:rsidRPr="0070772A" w:rsidRDefault="001558A1" w:rsidP="00FE7B0E">
      <w:pPr>
        <w:pStyle w:val="Ttulo1"/>
        <w:spacing w:before="0"/>
        <w:ind w:left="0" w:firstLine="0"/>
        <w:rPr>
          <w:rFonts w:ascii="Palatino Linotype" w:hAnsi="Palatino Linotype"/>
          <w:sz w:val="22"/>
          <w:szCs w:val="22"/>
        </w:rPr>
      </w:pPr>
      <w:r w:rsidRPr="0070772A">
        <w:rPr>
          <w:rFonts w:ascii="Palatino Linotype" w:hAnsi="Palatino Linotype"/>
          <w:caps w:val="0"/>
          <w:sz w:val="22"/>
          <w:szCs w:val="22"/>
        </w:rPr>
        <w:t>ANÁLISE E DISCUSSÃO DOS RESULTADOS</w:t>
      </w:r>
    </w:p>
    <w:p w:rsidR="00C33112" w:rsidRPr="0070772A" w:rsidRDefault="00894469" w:rsidP="00BE160E">
      <w:pPr>
        <w:rPr>
          <w:rFonts w:ascii="Palatino Linotype" w:hAnsi="Palatino Linotype"/>
          <w:sz w:val="22"/>
        </w:rPr>
      </w:pPr>
      <w:r w:rsidRPr="0070772A">
        <w:rPr>
          <w:rFonts w:ascii="Palatino Linotype" w:hAnsi="Palatino Linotype"/>
          <w:sz w:val="22"/>
        </w:rPr>
        <w:t>A</w:t>
      </w:r>
      <w:r w:rsidR="00987440" w:rsidRPr="0070772A">
        <w:rPr>
          <w:rFonts w:ascii="Palatino Linotype" w:hAnsi="Palatino Linotype"/>
          <w:sz w:val="22"/>
        </w:rPr>
        <w:t xml:space="preserve"> </w:t>
      </w:r>
      <w:r w:rsidRPr="0070772A">
        <w:rPr>
          <w:rFonts w:ascii="Palatino Linotype" w:hAnsi="Palatino Linotype"/>
          <w:sz w:val="22"/>
        </w:rPr>
        <w:t>T</w:t>
      </w:r>
      <w:r w:rsidR="00987440" w:rsidRPr="0070772A">
        <w:rPr>
          <w:rFonts w:ascii="Palatino Linotype" w:hAnsi="Palatino Linotype"/>
          <w:sz w:val="22"/>
        </w:rPr>
        <w:t>abela 1</w:t>
      </w:r>
      <w:r w:rsidR="00D953B9" w:rsidRPr="0070772A">
        <w:rPr>
          <w:rFonts w:ascii="Palatino Linotype" w:hAnsi="Palatino Linotype"/>
          <w:sz w:val="22"/>
        </w:rPr>
        <w:t xml:space="preserve"> apresenta a relação das matrizes curriculares das instituições pesquisadas com relação ao Currículo Mundial proposto p</w:t>
      </w:r>
      <w:r w:rsidRPr="0070772A">
        <w:rPr>
          <w:rFonts w:ascii="Palatino Linotype" w:hAnsi="Palatino Linotype"/>
          <w:sz w:val="22"/>
        </w:rPr>
        <w:t xml:space="preserve">ela </w:t>
      </w:r>
      <w:r w:rsidR="00D953B9" w:rsidRPr="0070772A">
        <w:rPr>
          <w:rFonts w:ascii="Palatino Linotype" w:hAnsi="Palatino Linotype"/>
          <w:sz w:val="22"/>
        </w:rPr>
        <w:t>ONU/UNCTAD/ISAR.</w:t>
      </w:r>
    </w:p>
    <w:p w:rsidR="00051BCD" w:rsidRPr="0070772A" w:rsidRDefault="00051BCD" w:rsidP="00BE160E">
      <w:pPr>
        <w:rPr>
          <w:rFonts w:ascii="Palatino Linotype" w:hAnsi="Palatino Linotype"/>
          <w:b/>
          <w:sz w:val="22"/>
        </w:rPr>
      </w:pPr>
    </w:p>
    <w:p w:rsidR="00051BCD" w:rsidRPr="0070772A" w:rsidRDefault="00051BCD" w:rsidP="00BE160E">
      <w:pPr>
        <w:rPr>
          <w:rFonts w:ascii="Palatino Linotype" w:hAnsi="Palatino Linotype"/>
          <w:b/>
          <w:sz w:val="22"/>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55"/>
        <w:gridCol w:w="958"/>
        <w:gridCol w:w="831"/>
        <w:gridCol w:w="958"/>
        <w:gridCol w:w="1477"/>
        <w:gridCol w:w="675"/>
        <w:gridCol w:w="1061"/>
        <w:gridCol w:w="956"/>
      </w:tblGrid>
      <w:tr w:rsidR="0070772A" w:rsidRPr="0070772A" w:rsidTr="00051BCD">
        <w:trPr>
          <w:cantSplit/>
          <w:trHeight w:val="20"/>
        </w:trPr>
        <w:tc>
          <w:tcPr>
            <w:tcW w:w="5000" w:type="pct"/>
            <w:gridSpan w:val="8"/>
            <w:tcBorders>
              <w:top w:val="nil"/>
              <w:bottom w:val="single" w:sz="12" w:space="0" w:color="auto"/>
            </w:tcBorders>
            <w:shd w:val="clear" w:color="auto" w:fill="auto"/>
            <w:vAlign w:val="center"/>
          </w:tcPr>
          <w:p w:rsidR="00051BCD" w:rsidRPr="0070772A" w:rsidRDefault="00051BCD" w:rsidP="00BE160E">
            <w:pPr>
              <w:ind w:firstLine="0"/>
              <w:jc w:val="center"/>
              <w:rPr>
                <w:rFonts w:ascii="Palatino Linotype" w:hAnsi="Palatino Linotype"/>
                <w:sz w:val="18"/>
                <w:szCs w:val="18"/>
              </w:rPr>
            </w:pPr>
            <w:r w:rsidRPr="0070772A">
              <w:rPr>
                <w:rFonts w:ascii="Palatino Linotype" w:hAnsi="Palatino Linotype"/>
                <w:b/>
                <w:sz w:val="18"/>
                <w:szCs w:val="18"/>
              </w:rPr>
              <w:t>Tabela 1 - Similaridades entre os currículos das IES com o currículo mundial</w:t>
            </w:r>
          </w:p>
        </w:tc>
      </w:tr>
      <w:tr w:rsidR="00C33112" w:rsidRPr="0070772A" w:rsidTr="00051BCD">
        <w:trPr>
          <w:cantSplit/>
          <w:trHeight w:val="1928"/>
        </w:trPr>
        <w:tc>
          <w:tcPr>
            <w:tcW w:w="1188" w:type="pct"/>
            <w:tcBorders>
              <w:top w:val="single" w:sz="12" w:space="0" w:color="auto"/>
            </w:tcBorders>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Instituição</w:t>
            </w:r>
          </w:p>
        </w:tc>
        <w:tc>
          <w:tcPr>
            <w:tcW w:w="528" w:type="pct"/>
            <w:tcBorders>
              <w:top w:val="single" w:sz="12" w:space="0" w:color="auto"/>
            </w:tcBorders>
            <w:shd w:val="clear" w:color="auto" w:fill="auto"/>
            <w:textDirection w:val="btLr"/>
            <w:vAlign w:val="center"/>
            <w:hideMark/>
          </w:tcPr>
          <w:p w:rsidR="00C33112" w:rsidRPr="0070772A" w:rsidRDefault="00D51436" w:rsidP="00BE160E">
            <w:pPr>
              <w:ind w:firstLine="0"/>
              <w:jc w:val="center"/>
              <w:rPr>
                <w:rFonts w:ascii="Palatino Linotype" w:hAnsi="Palatino Linotype"/>
                <w:sz w:val="18"/>
                <w:szCs w:val="18"/>
              </w:rPr>
            </w:pPr>
            <w:r w:rsidRPr="0070772A">
              <w:rPr>
                <w:rFonts w:ascii="Palatino Linotype" w:hAnsi="Palatino Linotype"/>
                <w:sz w:val="18"/>
                <w:szCs w:val="18"/>
              </w:rPr>
              <w:t>1 – Conhecimento administrativo e Organizacional</w:t>
            </w:r>
          </w:p>
        </w:tc>
        <w:tc>
          <w:tcPr>
            <w:tcW w:w="458" w:type="pct"/>
            <w:tcBorders>
              <w:top w:val="single" w:sz="12" w:space="0" w:color="auto"/>
            </w:tcBorders>
            <w:shd w:val="clear" w:color="auto" w:fill="auto"/>
            <w:textDirection w:val="btLr"/>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 xml:space="preserve">2 - </w:t>
            </w:r>
            <w:r w:rsidR="00D51436" w:rsidRPr="0070772A">
              <w:rPr>
                <w:rFonts w:ascii="Palatino Linotype" w:hAnsi="Palatino Linotype"/>
                <w:sz w:val="18"/>
                <w:szCs w:val="18"/>
              </w:rPr>
              <w:t>Tecnologia de Informação</w:t>
            </w:r>
          </w:p>
        </w:tc>
        <w:tc>
          <w:tcPr>
            <w:tcW w:w="528" w:type="pct"/>
            <w:tcBorders>
              <w:top w:val="single" w:sz="12" w:space="0" w:color="auto"/>
            </w:tcBorders>
            <w:shd w:val="clear" w:color="auto" w:fill="auto"/>
            <w:textDirection w:val="btLr"/>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 xml:space="preserve">3 - </w:t>
            </w:r>
            <w:r w:rsidR="00D51436" w:rsidRPr="0070772A">
              <w:rPr>
                <w:rFonts w:ascii="Palatino Linotype" w:hAnsi="Palatino Linotype"/>
                <w:sz w:val="18"/>
                <w:szCs w:val="18"/>
              </w:rPr>
              <w:t>Conhecimentos Contábeis, Financeiros e assuntos afins</w:t>
            </w:r>
          </w:p>
        </w:tc>
        <w:tc>
          <w:tcPr>
            <w:tcW w:w="814" w:type="pct"/>
            <w:tcBorders>
              <w:top w:val="single" w:sz="12" w:space="0" w:color="auto"/>
            </w:tcBorders>
            <w:shd w:val="clear" w:color="auto" w:fill="auto"/>
            <w:textDirection w:val="btLr"/>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 xml:space="preserve">4 - </w:t>
            </w:r>
            <w:r w:rsidR="00D51436" w:rsidRPr="0070772A">
              <w:rPr>
                <w:rFonts w:ascii="Palatino Linotype" w:hAnsi="Palatino Linotype"/>
                <w:sz w:val="18"/>
                <w:szCs w:val="18"/>
              </w:rPr>
              <w:t>Conhecimento (avançado) em Contabilidade, Finanças e assuntos afins</w:t>
            </w:r>
          </w:p>
        </w:tc>
        <w:tc>
          <w:tcPr>
            <w:tcW w:w="372" w:type="pct"/>
            <w:tcBorders>
              <w:top w:val="single" w:sz="12" w:space="0" w:color="auto"/>
            </w:tcBorders>
            <w:shd w:val="clear" w:color="auto" w:fill="auto"/>
            <w:textDirection w:val="btLr"/>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 xml:space="preserve">Total de </w:t>
            </w:r>
            <w:r w:rsidR="00593396" w:rsidRPr="0070772A">
              <w:rPr>
                <w:rFonts w:ascii="Palatino Linotype" w:hAnsi="Palatino Linotype"/>
                <w:sz w:val="18"/>
                <w:szCs w:val="18"/>
              </w:rPr>
              <w:t>disciplinas</w:t>
            </w:r>
            <w:r w:rsidRPr="0070772A">
              <w:rPr>
                <w:rFonts w:ascii="Palatino Linotype" w:hAnsi="Palatino Linotype"/>
                <w:sz w:val="18"/>
                <w:szCs w:val="18"/>
              </w:rPr>
              <w:t xml:space="preserve"> </w:t>
            </w:r>
            <w:r w:rsidR="00593396" w:rsidRPr="0070772A">
              <w:rPr>
                <w:rFonts w:ascii="Palatino Linotype" w:hAnsi="Palatino Linotype"/>
                <w:sz w:val="18"/>
                <w:szCs w:val="18"/>
              </w:rPr>
              <w:t>s</w:t>
            </w:r>
            <w:r w:rsidRPr="0070772A">
              <w:rPr>
                <w:rFonts w:ascii="Palatino Linotype" w:hAnsi="Palatino Linotype"/>
                <w:sz w:val="18"/>
                <w:szCs w:val="18"/>
              </w:rPr>
              <w:t>imilares</w:t>
            </w:r>
          </w:p>
        </w:tc>
        <w:tc>
          <w:tcPr>
            <w:tcW w:w="585" w:type="pct"/>
            <w:tcBorders>
              <w:top w:val="single" w:sz="12" w:space="0" w:color="auto"/>
            </w:tcBorders>
            <w:shd w:val="clear" w:color="auto" w:fill="auto"/>
            <w:textDirection w:val="btLr"/>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 xml:space="preserve">% do total de </w:t>
            </w:r>
            <w:r w:rsidR="00593396" w:rsidRPr="0070772A">
              <w:rPr>
                <w:rFonts w:ascii="Palatino Linotype" w:hAnsi="Palatino Linotype"/>
                <w:sz w:val="18"/>
                <w:szCs w:val="18"/>
              </w:rPr>
              <w:t>disciplinas s</w:t>
            </w:r>
            <w:r w:rsidRPr="0070772A">
              <w:rPr>
                <w:rFonts w:ascii="Palatino Linotype" w:hAnsi="Palatino Linotype"/>
                <w:sz w:val="18"/>
                <w:szCs w:val="18"/>
              </w:rPr>
              <w:t>imilares</w:t>
            </w:r>
          </w:p>
        </w:tc>
        <w:tc>
          <w:tcPr>
            <w:tcW w:w="527" w:type="pct"/>
            <w:tcBorders>
              <w:top w:val="single" w:sz="12" w:space="0" w:color="auto"/>
            </w:tcBorders>
            <w:shd w:val="clear" w:color="auto" w:fill="auto"/>
            <w:textDirection w:val="btLr"/>
            <w:vAlign w:val="center"/>
            <w:hideMark/>
          </w:tcPr>
          <w:p w:rsidR="00593396"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 xml:space="preserve">N. total de </w:t>
            </w:r>
            <w:r w:rsidR="00567F00" w:rsidRPr="0070772A">
              <w:rPr>
                <w:rFonts w:ascii="Palatino Linotype" w:hAnsi="Palatino Linotype"/>
                <w:sz w:val="18"/>
                <w:szCs w:val="18"/>
              </w:rPr>
              <w:t>disciplinas</w:t>
            </w:r>
          </w:p>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w:t>
            </w:r>
            <w:proofErr w:type="gramStart"/>
            <w:r w:rsidRPr="0070772A">
              <w:rPr>
                <w:rFonts w:ascii="Palatino Linotype" w:hAnsi="Palatino Linotype"/>
                <w:sz w:val="18"/>
                <w:szCs w:val="18"/>
              </w:rPr>
              <w:t>sem</w:t>
            </w:r>
            <w:proofErr w:type="gramEnd"/>
            <w:r w:rsidRPr="0070772A">
              <w:rPr>
                <w:rFonts w:ascii="Palatino Linotype" w:hAnsi="Palatino Linotype"/>
                <w:sz w:val="18"/>
                <w:szCs w:val="18"/>
              </w:rPr>
              <w:t xml:space="preserve"> as complementares)</w:t>
            </w:r>
          </w:p>
        </w:tc>
      </w:tr>
      <w:tr w:rsidR="00894469" w:rsidRPr="0070772A" w:rsidTr="00051BCD">
        <w:trPr>
          <w:trHeight w:val="20"/>
        </w:trPr>
        <w:tc>
          <w:tcPr>
            <w:tcW w:w="1188" w:type="pct"/>
            <w:shd w:val="clear" w:color="auto" w:fill="auto"/>
            <w:vAlign w:val="center"/>
            <w:hideMark/>
          </w:tcPr>
          <w:p w:rsidR="00894469" w:rsidRPr="0070772A" w:rsidRDefault="00894469" w:rsidP="00BE160E">
            <w:pPr>
              <w:ind w:firstLine="0"/>
              <w:jc w:val="left"/>
              <w:rPr>
                <w:rFonts w:ascii="Palatino Linotype" w:hAnsi="Palatino Linotype"/>
                <w:sz w:val="18"/>
                <w:szCs w:val="18"/>
              </w:rPr>
            </w:pPr>
            <w:r w:rsidRPr="0070772A">
              <w:rPr>
                <w:rFonts w:ascii="Palatino Linotype" w:hAnsi="Palatino Linotype"/>
                <w:sz w:val="18"/>
                <w:szCs w:val="18"/>
              </w:rPr>
              <w:t>CATÓLICA SC</w:t>
            </w:r>
          </w:p>
        </w:tc>
        <w:tc>
          <w:tcPr>
            <w:tcW w:w="528" w:type="pct"/>
            <w:shd w:val="clear" w:color="auto" w:fill="auto"/>
            <w:vAlign w:val="center"/>
            <w:hideMark/>
          </w:tcPr>
          <w:p w:rsidR="00894469" w:rsidRPr="0070772A" w:rsidRDefault="00894469"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458" w:type="pct"/>
            <w:shd w:val="clear" w:color="auto" w:fill="auto"/>
            <w:vAlign w:val="center"/>
            <w:hideMark/>
          </w:tcPr>
          <w:p w:rsidR="00894469" w:rsidRPr="0070772A" w:rsidRDefault="00894469"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894469" w:rsidRPr="0070772A" w:rsidRDefault="00894469" w:rsidP="00BE160E">
            <w:pPr>
              <w:ind w:firstLine="0"/>
              <w:jc w:val="center"/>
              <w:rPr>
                <w:rFonts w:ascii="Palatino Linotype" w:hAnsi="Palatino Linotype"/>
                <w:sz w:val="18"/>
                <w:szCs w:val="18"/>
              </w:rPr>
            </w:pPr>
            <w:r w:rsidRPr="0070772A">
              <w:rPr>
                <w:rFonts w:ascii="Palatino Linotype" w:hAnsi="Palatino Linotype"/>
                <w:sz w:val="18"/>
                <w:szCs w:val="18"/>
              </w:rPr>
              <w:t>13</w:t>
            </w:r>
          </w:p>
        </w:tc>
        <w:tc>
          <w:tcPr>
            <w:tcW w:w="814" w:type="pct"/>
            <w:shd w:val="clear" w:color="auto" w:fill="auto"/>
            <w:vAlign w:val="center"/>
            <w:hideMark/>
          </w:tcPr>
          <w:p w:rsidR="00894469" w:rsidRPr="0070772A" w:rsidRDefault="00894469" w:rsidP="00BE160E">
            <w:pPr>
              <w:ind w:firstLine="0"/>
              <w:jc w:val="center"/>
              <w:rPr>
                <w:rFonts w:ascii="Palatino Linotype" w:hAnsi="Palatino Linotype"/>
                <w:sz w:val="18"/>
                <w:szCs w:val="18"/>
              </w:rPr>
            </w:pPr>
            <w:r w:rsidRPr="0070772A">
              <w:rPr>
                <w:rFonts w:ascii="Palatino Linotype" w:hAnsi="Palatino Linotype"/>
                <w:sz w:val="18"/>
                <w:szCs w:val="18"/>
              </w:rPr>
              <w:t>10</w:t>
            </w:r>
          </w:p>
        </w:tc>
        <w:tc>
          <w:tcPr>
            <w:tcW w:w="372" w:type="pct"/>
            <w:shd w:val="clear" w:color="auto" w:fill="auto"/>
            <w:vAlign w:val="center"/>
            <w:hideMark/>
          </w:tcPr>
          <w:p w:rsidR="00894469" w:rsidRPr="0070772A" w:rsidRDefault="00894469" w:rsidP="00BE160E">
            <w:pPr>
              <w:ind w:firstLine="0"/>
              <w:jc w:val="center"/>
              <w:rPr>
                <w:rFonts w:ascii="Palatino Linotype" w:hAnsi="Palatino Linotype"/>
                <w:sz w:val="18"/>
                <w:szCs w:val="18"/>
              </w:rPr>
            </w:pPr>
            <w:r w:rsidRPr="0070772A">
              <w:rPr>
                <w:rFonts w:ascii="Palatino Linotype" w:hAnsi="Palatino Linotype"/>
                <w:sz w:val="18"/>
                <w:szCs w:val="18"/>
              </w:rPr>
              <w:t>29</w:t>
            </w:r>
          </w:p>
        </w:tc>
        <w:tc>
          <w:tcPr>
            <w:tcW w:w="585" w:type="pct"/>
            <w:shd w:val="clear" w:color="auto" w:fill="auto"/>
            <w:vAlign w:val="center"/>
            <w:hideMark/>
          </w:tcPr>
          <w:p w:rsidR="00894469" w:rsidRPr="0070772A" w:rsidRDefault="00894469" w:rsidP="00BE160E">
            <w:pPr>
              <w:ind w:firstLine="0"/>
              <w:jc w:val="center"/>
              <w:rPr>
                <w:rFonts w:ascii="Palatino Linotype" w:hAnsi="Palatino Linotype"/>
                <w:sz w:val="18"/>
                <w:szCs w:val="18"/>
              </w:rPr>
            </w:pPr>
            <w:r w:rsidRPr="0070772A">
              <w:rPr>
                <w:rFonts w:ascii="Palatino Linotype" w:hAnsi="Palatino Linotype"/>
                <w:sz w:val="18"/>
                <w:szCs w:val="18"/>
              </w:rPr>
              <w:t>80,1</w:t>
            </w:r>
          </w:p>
        </w:tc>
        <w:tc>
          <w:tcPr>
            <w:tcW w:w="527" w:type="pct"/>
            <w:shd w:val="clear" w:color="auto" w:fill="auto"/>
            <w:vAlign w:val="center"/>
            <w:hideMark/>
          </w:tcPr>
          <w:p w:rsidR="00894469" w:rsidRPr="0070772A" w:rsidRDefault="00894469" w:rsidP="00BE160E">
            <w:pPr>
              <w:ind w:firstLine="0"/>
              <w:jc w:val="center"/>
              <w:rPr>
                <w:rFonts w:ascii="Palatino Linotype" w:hAnsi="Palatino Linotype"/>
                <w:sz w:val="18"/>
                <w:szCs w:val="18"/>
              </w:rPr>
            </w:pPr>
            <w:r w:rsidRPr="0070772A">
              <w:rPr>
                <w:rFonts w:ascii="Palatino Linotype" w:hAnsi="Palatino Linotype"/>
                <w:sz w:val="18"/>
                <w:szCs w:val="18"/>
              </w:rPr>
              <w:t>36</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FURB</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8</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17</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13</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38</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79,2</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48</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UDESC</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16</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29</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82,8</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35</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UnC</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14</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10</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30</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73,2</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41</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UNESC</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5</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16</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13</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34</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75,6</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45</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UNIARP</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13</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10</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29</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72,5</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40</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UNIBAVE</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8</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15</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30</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75</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40</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UNIDAVI</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16</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10</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32</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71,1</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45</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lastRenderedPageBreak/>
              <w:t>UNIFEBE</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16</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29</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64,4</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45</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UNIPLAC</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22</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12</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41</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82</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50</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UNISUL</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15</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9</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30</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71,4</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42</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UNIVALI</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5</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15</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10</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30</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76,9</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39</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UNIVILLE</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5</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13</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24</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72,7</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33</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UNOCHAP</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5</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15</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12</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32</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71,1</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45</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UNOESC</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0</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16</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9</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31</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81,6</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38</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USJ</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9</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12</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8</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30</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83,3</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36</w:t>
            </w:r>
          </w:p>
        </w:tc>
      </w:tr>
      <w:tr w:rsidR="00C33112" w:rsidRPr="0070772A" w:rsidTr="00051BCD">
        <w:trPr>
          <w:trHeight w:val="20"/>
        </w:trPr>
        <w:tc>
          <w:tcPr>
            <w:tcW w:w="1188" w:type="pct"/>
            <w:shd w:val="clear" w:color="auto" w:fill="auto"/>
            <w:hideMark/>
          </w:tcPr>
          <w:p w:rsidR="00C33112" w:rsidRPr="0070772A" w:rsidRDefault="00C33112" w:rsidP="00BE160E">
            <w:pPr>
              <w:ind w:firstLine="0"/>
              <w:rPr>
                <w:rFonts w:ascii="Palatino Linotype" w:hAnsi="Palatino Linotype"/>
                <w:sz w:val="18"/>
                <w:szCs w:val="18"/>
              </w:rPr>
            </w:pPr>
            <w:r w:rsidRPr="0070772A">
              <w:rPr>
                <w:rFonts w:ascii="Palatino Linotype" w:hAnsi="Palatino Linotype"/>
                <w:sz w:val="18"/>
                <w:szCs w:val="18"/>
              </w:rPr>
              <w:t>Total</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102</w:t>
            </w:r>
          </w:p>
        </w:tc>
        <w:tc>
          <w:tcPr>
            <w:tcW w:w="45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2</w:t>
            </w:r>
          </w:p>
        </w:tc>
        <w:tc>
          <w:tcPr>
            <w:tcW w:w="528"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244</w:t>
            </w:r>
          </w:p>
        </w:tc>
        <w:tc>
          <w:tcPr>
            <w:tcW w:w="814"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150</w:t>
            </w:r>
          </w:p>
        </w:tc>
        <w:tc>
          <w:tcPr>
            <w:tcW w:w="372"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498</w:t>
            </w:r>
          </w:p>
        </w:tc>
        <w:tc>
          <w:tcPr>
            <w:tcW w:w="585"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75,7</w:t>
            </w:r>
          </w:p>
        </w:tc>
        <w:tc>
          <w:tcPr>
            <w:tcW w:w="527" w:type="pct"/>
            <w:shd w:val="clear" w:color="auto" w:fill="auto"/>
            <w:vAlign w:val="center"/>
            <w:hideMark/>
          </w:tcPr>
          <w:p w:rsidR="00C33112" w:rsidRPr="0070772A" w:rsidRDefault="00C33112" w:rsidP="00BE160E">
            <w:pPr>
              <w:ind w:firstLine="0"/>
              <w:jc w:val="center"/>
              <w:rPr>
                <w:rFonts w:ascii="Palatino Linotype" w:hAnsi="Palatino Linotype"/>
                <w:sz w:val="18"/>
                <w:szCs w:val="18"/>
              </w:rPr>
            </w:pPr>
            <w:r w:rsidRPr="0070772A">
              <w:rPr>
                <w:rFonts w:ascii="Palatino Linotype" w:hAnsi="Palatino Linotype"/>
                <w:sz w:val="18"/>
                <w:szCs w:val="18"/>
              </w:rPr>
              <w:t>658</w:t>
            </w:r>
          </w:p>
        </w:tc>
      </w:tr>
    </w:tbl>
    <w:p w:rsidR="00593396" w:rsidRPr="0070772A" w:rsidRDefault="00EE2CCD" w:rsidP="00BE160E">
      <w:pPr>
        <w:ind w:firstLine="0"/>
        <w:rPr>
          <w:rFonts w:ascii="Palatino Linotype" w:hAnsi="Palatino Linotype"/>
          <w:sz w:val="18"/>
          <w:szCs w:val="18"/>
        </w:rPr>
      </w:pPr>
      <w:r w:rsidRPr="0070772A">
        <w:rPr>
          <w:rFonts w:ascii="Palatino Linotype" w:hAnsi="Palatino Linotype"/>
          <w:sz w:val="18"/>
          <w:szCs w:val="18"/>
        </w:rPr>
        <w:t>Fonte: dados da pesq</w:t>
      </w:r>
      <w:r w:rsidR="00593396" w:rsidRPr="0070772A">
        <w:rPr>
          <w:rFonts w:ascii="Palatino Linotype" w:hAnsi="Palatino Linotype"/>
          <w:sz w:val="18"/>
          <w:szCs w:val="18"/>
        </w:rPr>
        <w:t>uisa.</w:t>
      </w:r>
    </w:p>
    <w:p w:rsidR="00593396" w:rsidRPr="0070772A" w:rsidRDefault="00593396" w:rsidP="00BE160E">
      <w:pPr>
        <w:rPr>
          <w:rFonts w:ascii="Palatino Linotype" w:hAnsi="Palatino Linotype"/>
          <w:sz w:val="22"/>
        </w:rPr>
      </w:pPr>
    </w:p>
    <w:p w:rsidR="00593396" w:rsidRPr="0070772A" w:rsidRDefault="00C36FB3" w:rsidP="00BE160E">
      <w:pPr>
        <w:rPr>
          <w:rFonts w:ascii="Palatino Linotype" w:hAnsi="Palatino Linotype"/>
          <w:sz w:val="22"/>
        </w:rPr>
      </w:pPr>
      <w:r w:rsidRPr="0070772A">
        <w:rPr>
          <w:rFonts w:ascii="Palatino Linotype" w:hAnsi="Palatino Linotype"/>
          <w:sz w:val="22"/>
        </w:rPr>
        <w:t xml:space="preserve">De acordo com a pesquisa, as IES integrantes da ACAFE tem em média 74,5% das disciplinas de forma similar aos similares com o Currículo Mundial (ONU/UNCTAD/ISAR). </w:t>
      </w:r>
      <w:r w:rsidR="000B731D" w:rsidRPr="0070772A">
        <w:rPr>
          <w:rFonts w:ascii="Palatino Linotype" w:hAnsi="Palatino Linotype"/>
          <w:sz w:val="22"/>
        </w:rPr>
        <w:t>O</w:t>
      </w:r>
      <w:r w:rsidR="00D953B9" w:rsidRPr="0070772A">
        <w:rPr>
          <w:rFonts w:ascii="Palatino Linotype" w:hAnsi="Palatino Linotype"/>
          <w:sz w:val="22"/>
        </w:rPr>
        <w:t xml:space="preserve">s destaques em percentuais são a USJ </w:t>
      </w:r>
      <w:r w:rsidR="00593396" w:rsidRPr="0070772A">
        <w:rPr>
          <w:rFonts w:ascii="Palatino Linotype" w:hAnsi="Palatino Linotype"/>
          <w:sz w:val="22"/>
        </w:rPr>
        <w:t>(</w:t>
      </w:r>
      <w:r w:rsidR="00D953B9" w:rsidRPr="0070772A">
        <w:rPr>
          <w:rFonts w:ascii="Palatino Linotype" w:hAnsi="Palatino Linotype"/>
          <w:sz w:val="22"/>
        </w:rPr>
        <w:t>com 83,3%</w:t>
      </w:r>
      <w:r w:rsidR="00593396" w:rsidRPr="0070772A">
        <w:rPr>
          <w:rFonts w:ascii="Palatino Linotype" w:hAnsi="Palatino Linotype"/>
          <w:sz w:val="22"/>
        </w:rPr>
        <w:t>)</w:t>
      </w:r>
      <w:r w:rsidR="00D953B9" w:rsidRPr="0070772A">
        <w:rPr>
          <w:rFonts w:ascii="Palatino Linotype" w:hAnsi="Palatino Linotype"/>
          <w:sz w:val="22"/>
        </w:rPr>
        <w:t xml:space="preserve">, a UNIPLAC </w:t>
      </w:r>
      <w:r w:rsidR="00593396" w:rsidRPr="0070772A">
        <w:rPr>
          <w:rFonts w:ascii="Palatino Linotype" w:hAnsi="Palatino Linotype"/>
          <w:sz w:val="22"/>
        </w:rPr>
        <w:t>(</w:t>
      </w:r>
      <w:r w:rsidR="00D953B9" w:rsidRPr="0070772A">
        <w:rPr>
          <w:rFonts w:ascii="Palatino Linotype" w:hAnsi="Palatino Linotype"/>
          <w:sz w:val="22"/>
        </w:rPr>
        <w:t>82%</w:t>
      </w:r>
      <w:r w:rsidR="00593396" w:rsidRPr="0070772A">
        <w:rPr>
          <w:rFonts w:ascii="Palatino Linotype" w:hAnsi="Palatino Linotype"/>
          <w:sz w:val="22"/>
        </w:rPr>
        <w:t>)</w:t>
      </w:r>
      <w:r w:rsidR="00D953B9" w:rsidRPr="0070772A">
        <w:rPr>
          <w:rFonts w:ascii="Palatino Linotype" w:hAnsi="Palatino Linotype"/>
          <w:sz w:val="22"/>
        </w:rPr>
        <w:t xml:space="preserve"> e a UNOESC</w:t>
      </w:r>
      <w:r w:rsidR="00593396" w:rsidRPr="0070772A">
        <w:rPr>
          <w:rFonts w:ascii="Palatino Linotype" w:hAnsi="Palatino Linotype"/>
          <w:sz w:val="22"/>
        </w:rPr>
        <w:t xml:space="preserve"> (81,6%)</w:t>
      </w:r>
      <w:r w:rsidR="00D953B9" w:rsidRPr="0070772A">
        <w:rPr>
          <w:rFonts w:ascii="Palatino Linotype" w:hAnsi="Palatino Linotype"/>
          <w:sz w:val="22"/>
        </w:rPr>
        <w:t xml:space="preserve">.  </w:t>
      </w:r>
      <w:r w:rsidR="00593396" w:rsidRPr="0070772A">
        <w:rPr>
          <w:rFonts w:ascii="Palatino Linotype" w:hAnsi="Palatino Linotype"/>
          <w:sz w:val="22"/>
        </w:rPr>
        <w:t xml:space="preserve">As matrizes curriculares que </w:t>
      </w:r>
      <w:r w:rsidR="00F54D13" w:rsidRPr="0070772A">
        <w:rPr>
          <w:rFonts w:ascii="Palatino Linotype" w:hAnsi="Palatino Linotype"/>
          <w:sz w:val="22"/>
        </w:rPr>
        <w:t>se apresentaram</w:t>
      </w:r>
      <w:r w:rsidR="00593396" w:rsidRPr="0070772A">
        <w:rPr>
          <w:rFonts w:ascii="Palatino Linotype" w:hAnsi="Palatino Linotype"/>
          <w:sz w:val="22"/>
        </w:rPr>
        <w:t xml:space="preserve"> </w:t>
      </w:r>
      <w:r w:rsidR="00D953B9" w:rsidRPr="0070772A">
        <w:rPr>
          <w:rFonts w:ascii="Palatino Linotype" w:hAnsi="Palatino Linotype"/>
          <w:sz w:val="22"/>
        </w:rPr>
        <w:t xml:space="preserve">mais distantes </w:t>
      </w:r>
      <w:r w:rsidR="00593396" w:rsidRPr="0070772A">
        <w:rPr>
          <w:rFonts w:ascii="Palatino Linotype" w:hAnsi="Palatino Linotype"/>
          <w:sz w:val="22"/>
        </w:rPr>
        <w:t xml:space="preserve">da proposta pela ONU/UNCTAD/ISAR foram as da </w:t>
      </w:r>
      <w:r w:rsidR="00D953B9" w:rsidRPr="0070772A">
        <w:rPr>
          <w:rFonts w:ascii="Palatino Linotype" w:hAnsi="Palatino Linotype"/>
          <w:sz w:val="22"/>
        </w:rPr>
        <w:t xml:space="preserve">UNIFEBE </w:t>
      </w:r>
      <w:r w:rsidR="000B731D" w:rsidRPr="0070772A">
        <w:rPr>
          <w:rFonts w:ascii="Palatino Linotype" w:hAnsi="Palatino Linotype"/>
          <w:sz w:val="22"/>
        </w:rPr>
        <w:t>e UDESC</w:t>
      </w:r>
      <w:r w:rsidR="00593396" w:rsidRPr="0070772A">
        <w:rPr>
          <w:rFonts w:ascii="Palatino Linotype" w:hAnsi="Palatino Linotype"/>
          <w:sz w:val="22"/>
        </w:rPr>
        <w:t>,</w:t>
      </w:r>
      <w:r w:rsidR="000B731D" w:rsidRPr="0070772A">
        <w:rPr>
          <w:rFonts w:ascii="Palatino Linotype" w:hAnsi="Palatino Linotype"/>
          <w:sz w:val="22"/>
        </w:rPr>
        <w:t xml:space="preserve"> com 65,7% e 64,4%</w:t>
      </w:r>
      <w:r w:rsidR="00593396" w:rsidRPr="0070772A">
        <w:rPr>
          <w:rFonts w:ascii="Palatino Linotype" w:hAnsi="Palatino Linotype"/>
          <w:sz w:val="22"/>
        </w:rPr>
        <w:t>, respectivamente</w:t>
      </w:r>
      <w:r w:rsidR="000B731D" w:rsidRPr="0070772A">
        <w:rPr>
          <w:rFonts w:ascii="Palatino Linotype" w:hAnsi="Palatino Linotype"/>
          <w:sz w:val="22"/>
        </w:rPr>
        <w:t xml:space="preserve">. </w:t>
      </w:r>
    </w:p>
    <w:p w:rsidR="00C33112" w:rsidRPr="0070772A" w:rsidRDefault="000B731D" w:rsidP="00BE160E">
      <w:pPr>
        <w:rPr>
          <w:rFonts w:ascii="Palatino Linotype" w:hAnsi="Palatino Linotype"/>
          <w:sz w:val="22"/>
        </w:rPr>
      </w:pPr>
      <w:r w:rsidRPr="0070772A">
        <w:rPr>
          <w:rFonts w:ascii="Palatino Linotype" w:hAnsi="Palatino Linotype"/>
          <w:sz w:val="22"/>
        </w:rPr>
        <w:t xml:space="preserve"> No entanto, todas as instituições que estão integradas </w:t>
      </w:r>
      <w:r w:rsidR="00593396" w:rsidRPr="0070772A">
        <w:rPr>
          <w:rFonts w:ascii="Palatino Linotype" w:hAnsi="Palatino Linotype"/>
          <w:sz w:val="22"/>
        </w:rPr>
        <w:t>à</w:t>
      </w:r>
      <w:r w:rsidRPr="0070772A">
        <w:rPr>
          <w:rFonts w:ascii="Palatino Linotype" w:hAnsi="Palatino Linotype"/>
          <w:sz w:val="22"/>
        </w:rPr>
        <w:t xml:space="preserve"> ACAFE </w:t>
      </w:r>
      <w:r w:rsidR="00593396" w:rsidRPr="0070772A">
        <w:rPr>
          <w:rFonts w:ascii="Palatino Linotype" w:hAnsi="Palatino Linotype"/>
          <w:sz w:val="22"/>
        </w:rPr>
        <w:t xml:space="preserve">apresentam </w:t>
      </w:r>
      <w:r w:rsidRPr="0070772A">
        <w:rPr>
          <w:rFonts w:ascii="Palatino Linotype" w:hAnsi="Palatino Linotype"/>
          <w:sz w:val="22"/>
        </w:rPr>
        <w:t xml:space="preserve">uma similaridade </w:t>
      </w:r>
      <w:r w:rsidR="00593396" w:rsidRPr="0070772A">
        <w:rPr>
          <w:rFonts w:ascii="Palatino Linotype" w:hAnsi="Palatino Linotype"/>
          <w:sz w:val="22"/>
        </w:rPr>
        <w:t>superior a</w:t>
      </w:r>
      <w:r w:rsidRPr="0070772A">
        <w:rPr>
          <w:rFonts w:ascii="Palatino Linotype" w:hAnsi="Palatino Linotype"/>
          <w:sz w:val="22"/>
        </w:rPr>
        <w:t xml:space="preserve"> 50% com o Currículo Mundial.</w:t>
      </w:r>
      <w:r w:rsidR="00DD7B6C" w:rsidRPr="0070772A">
        <w:rPr>
          <w:rFonts w:ascii="Palatino Linotype" w:hAnsi="Palatino Linotype"/>
          <w:sz w:val="22"/>
        </w:rPr>
        <w:t xml:space="preserve"> </w:t>
      </w:r>
      <w:r w:rsidR="00C33112" w:rsidRPr="0070772A">
        <w:rPr>
          <w:rFonts w:ascii="Palatino Linotype" w:hAnsi="Palatino Linotype"/>
          <w:sz w:val="22"/>
        </w:rPr>
        <w:t>Em número</w:t>
      </w:r>
      <w:r w:rsidR="00593396" w:rsidRPr="0070772A">
        <w:rPr>
          <w:rFonts w:ascii="Palatino Linotype" w:hAnsi="Palatino Linotype"/>
          <w:sz w:val="22"/>
        </w:rPr>
        <w:t>s</w:t>
      </w:r>
      <w:r w:rsidR="00C33112" w:rsidRPr="0070772A">
        <w:rPr>
          <w:rFonts w:ascii="Palatino Linotype" w:hAnsi="Palatino Linotype"/>
          <w:sz w:val="22"/>
        </w:rPr>
        <w:t xml:space="preserve"> absolutos, a UNIPLAC lidera com 41 disciplinas, seguid</w:t>
      </w:r>
      <w:r w:rsidR="00593396" w:rsidRPr="0070772A">
        <w:rPr>
          <w:rFonts w:ascii="Palatino Linotype" w:hAnsi="Palatino Linotype"/>
          <w:sz w:val="22"/>
        </w:rPr>
        <w:t xml:space="preserve">a </w:t>
      </w:r>
      <w:r w:rsidR="00C33112" w:rsidRPr="0070772A">
        <w:rPr>
          <w:rFonts w:ascii="Palatino Linotype" w:hAnsi="Palatino Linotype"/>
          <w:sz w:val="22"/>
        </w:rPr>
        <w:t xml:space="preserve">pela FURB </w:t>
      </w:r>
      <w:r w:rsidR="00567F00" w:rsidRPr="0070772A">
        <w:rPr>
          <w:rFonts w:ascii="Palatino Linotype" w:hAnsi="Palatino Linotype"/>
          <w:sz w:val="22"/>
        </w:rPr>
        <w:t>e UNISUL</w:t>
      </w:r>
      <w:r w:rsidR="00C33112" w:rsidRPr="0070772A">
        <w:rPr>
          <w:rFonts w:ascii="Palatino Linotype" w:hAnsi="Palatino Linotype"/>
          <w:sz w:val="22"/>
        </w:rPr>
        <w:t xml:space="preserve"> com 34 </w:t>
      </w:r>
      <w:r w:rsidR="00593396" w:rsidRPr="0070772A">
        <w:rPr>
          <w:rFonts w:ascii="Palatino Linotype" w:hAnsi="Palatino Linotype"/>
          <w:sz w:val="22"/>
        </w:rPr>
        <w:t xml:space="preserve">disciplinas </w:t>
      </w:r>
      <w:r w:rsidR="00C33112" w:rsidRPr="0070772A">
        <w:rPr>
          <w:rFonts w:ascii="Palatino Linotype" w:hAnsi="Palatino Linotype"/>
          <w:sz w:val="22"/>
        </w:rPr>
        <w:t xml:space="preserve">cada. Já </w:t>
      </w:r>
      <w:r w:rsidR="00593396" w:rsidRPr="0070772A">
        <w:rPr>
          <w:rFonts w:ascii="Palatino Linotype" w:hAnsi="Palatino Linotype"/>
          <w:sz w:val="22"/>
        </w:rPr>
        <w:t xml:space="preserve">entre </w:t>
      </w:r>
      <w:r w:rsidR="00C33112" w:rsidRPr="0070772A">
        <w:rPr>
          <w:rFonts w:ascii="Palatino Linotype" w:hAnsi="Palatino Linotype"/>
          <w:sz w:val="22"/>
        </w:rPr>
        <w:t xml:space="preserve">as que </w:t>
      </w:r>
      <w:r w:rsidR="00593396" w:rsidRPr="0070772A">
        <w:rPr>
          <w:rFonts w:ascii="Palatino Linotype" w:hAnsi="Palatino Linotype"/>
          <w:sz w:val="22"/>
        </w:rPr>
        <w:t xml:space="preserve">possuem </w:t>
      </w:r>
      <w:r w:rsidR="00C33112" w:rsidRPr="0070772A">
        <w:rPr>
          <w:rFonts w:ascii="Palatino Linotype" w:hAnsi="Palatino Linotype"/>
          <w:sz w:val="22"/>
        </w:rPr>
        <w:t xml:space="preserve">menos </w:t>
      </w:r>
      <w:r w:rsidR="00593396" w:rsidRPr="0070772A">
        <w:rPr>
          <w:rFonts w:ascii="Palatino Linotype" w:hAnsi="Palatino Linotype"/>
          <w:sz w:val="22"/>
        </w:rPr>
        <w:t xml:space="preserve">disciplinas similares </w:t>
      </w:r>
      <w:r w:rsidR="00C33112" w:rsidRPr="0070772A">
        <w:rPr>
          <w:rFonts w:ascii="Palatino Linotype" w:hAnsi="Palatino Linotype"/>
          <w:sz w:val="22"/>
        </w:rPr>
        <w:t>destacam-se a UNIVILLE e a UDESC</w:t>
      </w:r>
      <w:r w:rsidR="00593396" w:rsidRPr="0070772A">
        <w:rPr>
          <w:rFonts w:ascii="Palatino Linotype" w:hAnsi="Palatino Linotype"/>
          <w:sz w:val="22"/>
        </w:rPr>
        <w:t>,</w:t>
      </w:r>
      <w:r w:rsidR="00C33112" w:rsidRPr="0070772A">
        <w:rPr>
          <w:rFonts w:ascii="Palatino Linotype" w:hAnsi="Palatino Linotype"/>
          <w:sz w:val="22"/>
        </w:rPr>
        <w:t xml:space="preserve"> com 23 cada.</w:t>
      </w:r>
    </w:p>
    <w:p w:rsidR="009E748D" w:rsidRPr="0070772A" w:rsidRDefault="00593396" w:rsidP="00BE160E">
      <w:pPr>
        <w:rPr>
          <w:rFonts w:ascii="Palatino Linotype" w:hAnsi="Palatino Linotype"/>
          <w:sz w:val="22"/>
        </w:rPr>
      </w:pPr>
      <w:r w:rsidRPr="0070772A">
        <w:rPr>
          <w:rFonts w:ascii="Palatino Linotype" w:hAnsi="Palatino Linotype"/>
          <w:sz w:val="22"/>
        </w:rPr>
        <w:t xml:space="preserve">Comparando estes resultados com os do estudo </w:t>
      </w:r>
      <w:r w:rsidR="00DD7B6C" w:rsidRPr="0070772A">
        <w:rPr>
          <w:rFonts w:ascii="Palatino Linotype" w:hAnsi="Palatino Linotype"/>
          <w:sz w:val="22"/>
        </w:rPr>
        <w:t xml:space="preserve">de Segantini </w:t>
      </w:r>
      <w:r w:rsidR="009117C8" w:rsidRPr="0070772A">
        <w:rPr>
          <w:rFonts w:ascii="Palatino Linotype" w:hAnsi="Palatino Linotype"/>
          <w:i/>
          <w:sz w:val="22"/>
        </w:rPr>
        <w:t>et al.</w:t>
      </w:r>
      <w:r w:rsidR="00DD7B6C" w:rsidRPr="0070772A">
        <w:rPr>
          <w:rFonts w:ascii="Palatino Linotype" w:hAnsi="Palatino Linotype"/>
          <w:sz w:val="22"/>
        </w:rPr>
        <w:t xml:space="preserve"> (2013)</w:t>
      </w:r>
      <w:r w:rsidRPr="0070772A">
        <w:rPr>
          <w:rFonts w:ascii="Palatino Linotype" w:hAnsi="Palatino Linotype"/>
          <w:sz w:val="22"/>
        </w:rPr>
        <w:t>,</w:t>
      </w:r>
      <w:r w:rsidR="00DD7B6C" w:rsidRPr="0070772A">
        <w:rPr>
          <w:rFonts w:ascii="Palatino Linotype" w:hAnsi="Palatino Linotype"/>
          <w:sz w:val="22"/>
        </w:rPr>
        <w:t xml:space="preserve"> em que </w:t>
      </w:r>
      <w:r w:rsidR="00567F00" w:rsidRPr="0070772A">
        <w:rPr>
          <w:rFonts w:ascii="Palatino Linotype" w:hAnsi="Palatino Linotype"/>
          <w:sz w:val="22"/>
        </w:rPr>
        <w:t>o índice</w:t>
      </w:r>
      <w:r w:rsidR="00DD7B6C" w:rsidRPr="0070772A">
        <w:rPr>
          <w:rFonts w:ascii="Palatino Linotype" w:hAnsi="Palatino Linotype"/>
          <w:sz w:val="22"/>
        </w:rPr>
        <w:t xml:space="preserve"> de disciplinas semelhantes </w:t>
      </w:r>
      <w:r w:rsidRPr="0070772A">
        <w:rPr>
          <w:rFonts w:ascii="Palatino Linotype" w:hAnsi="Palatino Linotype"/>
          <w:sz w:val="22"/>
        </w:rPr>
        <w:t>foi</w:t>
      </w:r>
      <w:r w:rsidR="00DD7B6C" w:rsidRPr="0070772A">
        <w:rPr>
          <w:rFonts w:ascii="Palatino Linotype" w:hAnsi="Palatino Linotype"/>
          <w:sz w:val="22"/>
        </w:rPr>
        <w:t xml:space="preserve"> de 76,71%, percebe-se que</w:t>
      </w:r>
      <w:r w:rsidR="009E748D" w:rsidRPr="0070772A">
        <w:rPr>
          <w:rFonts w:ascii="Palatino Linotype" w:hAnsi="Palatino Linotype"/>
          <w:sz w:val="22"/>
        </w:rPr>
        <w:t>, em média (75,7%),</w:t>
      </w:r>
      <w:r w:rsidR="00DD7B6C" w:rsidRPr="0070772A">
        <w:rPr>
          <w:rFonts w:ascii="Palatino Linotype" w:hAnsi="Palatino Linotype"/>
          <w:sz w:val="22"/>
        </w:rPr>
        <w:t xml:space="preserve"> as instituições da ACAFE </w:t>
      </w:r>
      <w:r w:rsidR="009E748D" w:rsidRPr="0070772A">
        <w:rPr>
          <w:rFonts w:ascii="Palatino Linotype" w:hAnsi="Palatino Linotype"/>
          <w:sz w:val="22"/>
        </w:rPr>
        <w:t>apresentam percentual semelhante à</w:t>
      </w:r>
      <w:r w:rsidR="00DD7B6C" w:rsidRPr="0070772A">
        <w:rPr>
          <w:rFonts w:ascii="Palatino Linotype" w:hAnsi="Palatino Linotype"/>
          <w:sz w:val="22"/>
        </w:rPr>
        <w:t xml:space="preserve">s instituições do </w:t>
      </w:r>
      <w:r w:rsidR="009E748D" w:rsidRPr="0070772A">
        <w:rPr>
          <w:rFonts w:ascii="Palatino Linotype" w:hAnsi="Palatino Linotype"/>
          <w:sz w:val="22"/>
        </w:rPr>
        <w:t>M</w:t>
      </w:r>
      <w:r w:rsidR="00DD7B6C" w:rsidRPr="0070772A">
        <w:rPr>
          <w:rFonts w:ascii="Palatino Linotype" w:hAnsi="Palatino Linotype"/>
          <w:sz w:val="22"/>
        </w:rPr>
        <w:t xml:space="preserve">ercosul, </w:t>
      </w:r>
      <w:r w:rsidR="009E748D" w:rsidRPr="0070772A">
        <w:rPr>
          <w:rFonts w:ascii="Palatino Linotype" w:hAnsi="Palatino Linotype"/>
          <w:sz w:val="22"/>
        </w:rPr>
        <w:t>o que de</w:t>
      </w:r>
      <w:r w:rsidR="00DD7B6C" w:rsidRPr="0070772A">
        <w:rPr>
          <w:rFonts w:ascii="Palatino Linotype" w:hAnsi="Palatino Linotype"/>
          <w:sz w:val="22"/>
        </w:rPr>
        <w:t>mo</w:t>
      </w:r>
      <w:r w:rsidR="009E748D" w:rsidRPr="0070772A">
        <w:rPr>
          <w:rFonts w:ascii="Palatino Linotype" w:hAnsi="Palatino Linotype"/>
          <w:sz w:val="22"/>
        </w:rPr>
        <w:t>n</w:t>
      </w:r>
      <w:r w:rsidR="00DD7B6C" w:rsidRPr="0070772A">
        <w:rPr>
          <w:rFonts w:ascii="Palatino Linotype" w:hAnsi="Palatino Linotype"/>
          <w:sz w:val="22"/>
        </w:rPr>
        <w:t xml:space="preserve">stra uma convergência na administração acadêmica das Instituições. </w:t>
      </w:r>
    </w:p>
    <w:p w:rsidR="00DD7B6C" w:rsidRPr="0070772A" w:rsidRDefault="00DD7B6C" w:rsidP="00BE160E">
      <w:pPr>
        <w:rPr>
          <w:rFonts w:ascii="Palatino Linotype" w:hAnsi="Palatino Linotype"/>
          <w:sz w:val="22"/>
        </w:rPr>
      </w:pPr>
      <w:r w:rsidRPr="0070772A">
        <w:rPr>
          <w:rFonts w:ascii="Palatino Linotype" w:hAnsi="Palatino Linotype"/>
          <w:sz w:val="22"/>
        </w:rPr>
        <w:t>No entanto</w:t>
      </w:r>
      <w:r w:rsidR="009E748D" w:rsidRPr="0070772A">
        <w:rPr>
          <w:rFonts w:ascii="Palatino Linotype" w:hAnsi="Palatino Linotype"/>
          <w:sz w:val="22"/>
        </w:rPr>
        <w:t>,</w:t>
      </w:r>
      <w:r w:rsidRPr="0070772A">
        <w:rPr>
          <w:rFonts w:ascii="Palatino Linotype" w:hAnsi="Palatino Linotype"/>
          <w:sz w:val="22"/>
        </w:rPr>
        <w:t xml:space="preserve"> </w:t>
      </w:r>
      <w:r w:rsidR="009E748D" w:rsidRPr="0070772A">
        <w:rPr>
          <w:rFonts w:ascii="Palatino Linotype" w:hAnsi="Palatino Linotype"/>
          <w:sz w:val="22"/>
        </w:rPr>
        <w:t xml:space="preserve">é importante destacar </w:t>
      </w:r>
      <w:r w:rsidRPr="0070772A">
        <w:rPr>
          <w:rFonts w:ascii="Palatino Linotype" w:hAnsi="Palatino Linotype"/>
          <w:sz w:val="22"/>
        </w:rPr>
        <w:t xml:space="preserve">que </w:t>
      </w:r>
      <w:r w:rsidR="009E748D" w:rsidRPr="0070772A">
        <w:rPr>
          <w:rFonts w:ascii="Palatino Linotype" w:hAnsi="Palatino Linotype"/>
          <w:sz w:val="22"/>
        </w:rPr>
        <w:t xml:space="preserve">na pesquisa de </w:t>
      </w:r>
      <w:proofErr w:type="spellStart"/>
      <w:r w:rsidR="00113F28" w:rsidRPr="0070772A">
        <w:rPr>
          <w:rFonts w:ascii="Palatino Linotype" w:hAnsi="Palatino Linotype"/>
          <w:sz w:val="22"/>
        </w:rPr>
        <w:t>Czesnat</w:t>
      </w:r>
      <w:proofErr w:type="spellEnd"/>
      <w:r w:rsidR="00113F28" w:rsidRPr="0070772A">
        <w:rPr>
          <w:rFonts w:ascii="Palatino Linotype" w:hAnsi="Palatino Linotype"/>
          <w:sz w:val="22"/>
        </w:rPr>
        <w:t>, Cunha e Domingues (2009)</w:t>
      </w:r>
      <w:r w:rsidR="009E748D" w:rsidRPr="0070772A">
        <w:rPr>
          <w:rFonts w:ascii="Palatino Linotype" w:hAnsi="Palatino Linotype"/>
          <w:sz w:val="22"/>
        </w:rPr>
        <w:t xml:space="preserve"> com universidades de Santa Catarina</w:t>
      </w:r>
      <w:r w:rsidR="00BE1003" w:rsidRPr="0070772A">
        <w:rPr>
          <w:rFonts w:ascii="Palatino Linotype" w:hAnsi="Palatino Linotype"/>
          <w:sz w:val="22"/>
        </w:rPr>
        <w:t xml:space="preserve"> </w:t>
      </w:r>
      <w:r w:rsidR="009E748D" w:rsidRPr="0070772A">
        <w:rPr>
          <w:rFonts w:ascii="Palatino Linotype" w:hAnsi="Palatino Linotype"/>
          <w:sz w:val="22"/>
        </w:rPr>
        <w:t xml:space="preserve">o </w:t>
      </w:r>
      <w:r w:rsidRPr="0070772A">
        <w:rPr>
          <w:rFonts w:ascii="Palatino Linotype" w:hAnsi="Palatino Linotype"/>
          <w:sz w:val="22"/>
        </w:rPr>
        <w:t>índice de</w:t>
      </w:r>
      <w:r w:rsidR="009E748D" w:rsidRPr="0070772A">
        <w:rPr>
          <w:rFonts w:ascii="Palatino Linotype" w:hAnsi="Palatino Linotype"/>
          <w:sz w:val="22"/>
        </w:rPr>
        <w:t xml:space="preserve"> similaridade foi </w:t>
      </w:r>
      <w:r w:rsidR="00DD4D7E" w:rsidRPr="0070772A">
        <w:rPr>
          <w:rFonts w:ascii="Palatino Linotype" w:hAnsi="Palatino Linotype"/>
          <w:sz w:val="22"/>
        </w:rPr>
        <w:t>de 88</w:t>
      </w:r>
      <w:r w:rsidRPr="0070772A">
        <w:rPr>
          <w:rFonts w:ascii="Palatino Linotype" w:hAnsi="Palatino Linotype"/>
          <w:sz w:val="22"/>
        </w:rPr>
        <w:t xml:space="preserve">%, o que </w:t>
      </w:r>
      <w:r w:rsidR="009E748D" w:rsidRPr="0070772A">
        <w:rPr>
          <w:rFonts w:ascii="Palatino Linotype" w:hAnsi="Palatino Linotype"/>
          <w:sz w:val="22"/>
        </w:rPr>
        <w:t xml:space="preserve">indica </w:t>
      </w:r>
      <w:r w:rsidRPr="0070772A">
        <w:rPr>
          <w:rFonts w:ascii="Palatino Linotype" w:hAnsi="Palatino Linotype"/>
          <w:sz w:val="22"/>
        </w:rPr>
        <w:t xml:space="preserve">uma diminuição </w:t>
      </w:r>
      <w:r w:rsidR="009E748D" w:rsidRPr="0070772A">
        <w:rPr>
          <w:rFonts w:ascii="Palatino Linotype" w:hAnsi="Palatino Linotype"/>
          <w:sz w:val="22"/>
        </w:rPr>
        <w:t>n</w:t>
      </w:r>
      <w:r w:rsidRPr="0070772A">
        <w:rPr>
          <w:rFonts w:ascii="Palatino Linotype" w:hAnsi="Palatino Linotype"/>
          <w:sz w:val="22"/>
        </w:rPr>
        <w:t>a similar</w:t>
      </w:r>
      <w:r w:rsidR="009E748D" w:rsidRPr="0070772A">
        <w:rPr>
          <w:rFonts w:ascii="Palatino Linotype" w:hAnsi="Palatino Linotype"/>
          <w:sz w:val="22"/>
        </w:rPr>
        <w:t xml:space="preserve">idade de disciplinas com a proposta da ONU/UNCTAD/ISAR. Considerando que esses autores analisaram 11 universidades contra 16 do estudo atual, pressupõe-se </w:t>
      </w:r>
      <w:r w:rsidRPr="0070772A">
        <w:rPr>
          <w:rFonts w:ascii="Palatino Linotype" w:hAnsi="Palatino Linotype"/>
          <w:sz w:val="22"/>
        </w:rPr>
        <w:t xml:space="preserve">que </w:t>
      </w:r>
      <w:r w:rsidR="009E748D" w:rsidRPr="0070772A">
        <w:rPr>
          <w:rFonts w:ascii="Palatino Linotype" w:hAnsi="Palatino Linotype"/>
          <w:sz w:val="22"/>
        </w:rPr>
        <w:t xml:space="preserve">pode haver oferta de disciplinas </w:t>
      </w:r>
      <w:r w:rsidR="00962F4B" w:rsidRPr="0070772A">
        <w:rPr>
          <w:rFonts w:ascii="Palatino Linotype" w:hAnsi="Palatino Linotype"/>
          <w:sz w:val="22"/>
        </w:rPr>
        <w:t>diferenciadas por regiões</w:t>
      </w:r>
      <w:r w:rsidR="009E748D" w:rsidRPr="0070772A">
        <w:rPr>
          <w:rFonts w:ascii="Palatino Linotype" w:hAnsi="Palatino Linotype"/>
          <w:sz w:val="22"/>
        </w:rPr>
        <w:t xml:space="preserve"> nas IES filiadas à </w:t>
      </w:r>
      <w:r w:rsidRPr="0070772A">
        <w:rPr>
          <w:rFonts w:ascii="Palatino Linotype" w:hAnsi="Palatino Linotype"/>
          <w:sz w:val="22"/>
        </w:rPr>
        <w:t>ACAFE</w:t>
      </w:r>
      <w:r w:rsidR="009E748D" w:rsidRPr="0070772A">
        <w:rPr>
          <w:rFonts w:ascii="Palatino Linotype" w:hAnsi="Palatino Linotype"/>
          <w:sz w:val="22"/>
        </w:rPr>
        <w:t>, levando à diminuição do índice de similaridade (de 2009 para 2015)</w:t>
      </w:r>
      <w:r w:rsidRPr="0070772A">
        <w:rPr>
          <w:rFonts w:ascii="Palatino Linotype" w:hAnsi="Palatino Linotype"/>
          <w:sz w:val="22"/>
        </w:rPr>
        <w:t xml:space="preserve">. </w:t>
      </w:r>
    </w:p>
    <w:p w:rsidR="00C33112" w:rsidRPr="0070772A" w:rsidRDefault="00C33112" w:rsidP="00BE160E">
      <w:pPr>
        <w:rPr>
          <w:rFonts w:ascii="Palatino Linotype" w:hAnsi="Palatino Linotype"/>
          <w:sz w:val="22"/>
        </w:rPr>
      </w:pPr>
      <w:r w:rsidRPr="0070772A">
        <w:rPr>
          <w:rFonts w:ascii="Palatino Linotype" w:hAnsi="Palatino Linotype"/>
          <w:sz w:val="22"/>
        </w:rPr>
        <w:t>Com relação às disciplinas que não fazem parte d</w:t>
      </w:r>
      <w:r w:rsidR="009E748D" w:rsidRPr="0070772A">
        <w:rPr>
          <w:rFonts w:ascii="Palatino Linotype" w:hAnsi="Palatino Linotype"/>
          <w:sz w:val="22"/>
        </w:rPr>
        <w:t xml:space="preserve">aquelas sugeridas pelo </w:t>
      </w:r>
      <w:r w:rsidR="00DD4D7E" w:rsidRPr="0070772A">
        <w:rPr>
          <w:rFonts w:ascii="Palatino Linotype" w:hAnsi="Palatino Linotype"/>
          <w:sz w:val="22"/>
        </w:rPr>
        <w:t>Currículo Mundial</w:t>
      </w:r>
      <w:r w:rsidRPr="0070772A">
        <w:rPr>
          <w:rFonts w:ascii="Palatino Linotype" w:hAnsi="Palatino Linotype"/>
          <w:sz w:val="22"/>
        </w:rPr>
        <w:t>, a maioria está ligada à Metodologia Científica, Orientação para Trabalhos de Conclusão de Curso, Produção de Textos e Sociologia.</w:t>
      </w:r>
    </w:p>
    <w:p w:rsidR="000B731D" w:rsidRPr="0070772A" w:rsidRDefault="00C33112" w:rsidP="00BE160E">
      <w:pPr>
        <w:rPr>
          <w:rFonts w:ascii="Palatino Linotype" w:hAnsi="Palatino Linotype"/>
          <w:sz w:val="22"/>
        </w:rPr>
      </w:pPr>
      <w:r w:rsidRPr="0070772A">
        <w:rPr>
          <w:rFonts w:ascii="Palatino Linotype" w:hAnsi="Palatino Linotype"/>
          <w:sz w:val="22"/>
        </w:rPr>
        <w:t xml:space="preserve">Um fato que </w:t>
      </w:r>
      <w:r w:rsidR="009E748D" w:rsidRPr="0070772A">
        <w:rPr>
          <w:rFonts w:ascii="Palatino Linotype" w:hAnsi="Palatino Linotype"/>
          <w:sz w:val="22"/>
        </w:rPr>
        <w:t xml:space="preserve">pode </w:t>
      </w:r>
      <w:r w:rsidRPr="0070772A">
        <w:rPr>
          <w:rFonts w:ascii="Palatino Linotype" w:hAnsi="Palatino Linotype"/>
          <w:sz w:val="22"/>
        </w:rPr>
        <w:t>interfer</w:t>
      </w:r>
      <w:r w:rsidR="009E748D" w:rsidRPr="0070772A">
        <w:rPr>
          <w:rFonts w:ascii="Palatino Linotype" w:hAnsi="Palatino Linotype"/>
          <w:sz w:val="22"/>
        </w:rPr>
        <w:t xml:space="preserve">ir na </w:t>
      </w:r>
      <w:r w:rsidRPr="0070772A">
        <w:rPr>
          <w:rFonts w:ascii="Palatino Linotype" w:hAnsi="Palatino Linotype"/>
          <w:sz w:val="22"/>
        </w:rPr>
        <w:t xml:space="preserve">avaliação </w:t>
      </w:r>
      <w:r w:rsidR="009E748D" w:rsidRPr="0070772A">
        <w:rPr>
          <w:rFonts w:ascii="Palatino Linotype" w:hAnsi="Palatino Linotype"/>
          <w:sz w:val="22"/>
        </w:rPr>
        <w:t xml:space="preserve">entre as diferentes IES </w:t>
      </w:r>
      <w:r w:rsidRPr="0070772A">
        <w:rPr>
          <w:rFonts w:ascii="Palatino Linotype" w:hAnsi="Palatino Linotype"/>
          <w:sz w:val="22"/>
        </w:rPr>
        <w:t xml:space="preserve">são as diferentes durações </w:t>
      </w:r>
      <w:r w:rsidR="009E748D" w:rsidRPr="0070772A">
        <w:rPr>
          <w:rFonts w:ascii="Palatino Linotype" w:hAnsi="Palatino Linotype"/>
          <w:sz w:val="22"/>
        </w:rPr>
        <w:t xml:space="preserve">dos cursos, </w:t>
      </w:r>
      <w:r w:rsidRPr="0070772A">
        <w:rPr>
          <w:rFonts w:ascii="Palatino Linotype" w:hAnsi="Palatino Linotype"/>
          <w:sz w:val="22"/>
        </w:rPr>
        <w:t>que variam entre 8 e 10 semestres, influindo na proporção final. Outro ponto a se destacar é a quantidade de disciplinas optativas oferecidas. A disparidade entre as IES pode induzir a conclusões imprecisas</w:t>
      </w:r>
      <w:r w:rsidR="009E748D" w:rsidRPr="0070772A">
        <w:rPr>
          <w:rFonts w:ascii="Palatino Linotype" w:hAnsi="Palatino Linotype"/>
          <w:sz w:val="22"/>
        </w:rPr>
        <w:t>,</w:t>
      </w:r>
      <w:r w:rsidRPr="0070772A">
        <w:rPr>
          <w:rFonts w:ascii="Palatino Linotype" w:hAnsi="Palatino Linotype"/>
          <w:sz w:val="22"/>
        </w:rPr>
        <w:t xml:space="preserve"> </w:t>
      </w:r>
      <w:r w:rsidR="009E748D" w:rsidRPr="0070772A">
        <w:rPr>
          <w:rFonts w:ascii="Palatino Linotype" w:hAnsi="Palatino Linotype"/>
          <w:sz w:val="22"/>
        </w:rPr>
        <w:t>p</w:t>
      </w:r>
      <w:r w:rsidRPr="0070772A">
        <w:rPr>
          <w:rFonts w:ascii="Palatino Linotype" w:hAnsi="Palatino Linotype"/>
          <w:sz w:val="22"/>
        </w:rPr>
        <w:t xml:space="preserve">ois algumas disciplinas que são optativas constam na </w:t>
      </w:r>
      <w:r w:rsidR="009E748D" w:rsidRPr="0070772A">
        <w:rPr>
          <w:rFonts w:ascii="Palatino Linotype" w:hAnsi="Palatino Linotype"/>
          <w:sz w:val="22"/>
        </w:rPr>
        <w:t xml:space="preserve">matriz curricular </w:t>
      </w:r>
      <w:r w:rsidRPr="0070772A">
        <w:rPr>
          <w:rFonts w:ascii="Palatino Linotype" w:hAnsi="Palatino Linotype"/>
          <w:sz w:val="22"/>
        </w:rPr>
        <w:t>sugerida</w:t>
      </w:r>
      <w:r w:rsidR="009E748D" w:rsidRPr="0070772A">
        <w:rPr>
          <w:rFonts w:ascii="Palatino Linotype" w:hAnsi="Palatino Linotype"/>
          <w:sz w:val="22"/>
        </w:rPr>
        <w:t xml:space="preserve"> pela ONU/UNCTAD/ISAR</w:t>
      </w:r>
      <w:r w:rsidRPr="0070772A">
        <w:rPr>
          <w:rFonts w:ascii="Palatino Linotype" w:hAnsi="Palatino Linotype"/>
          <w:sz w:val="22"/>
        </w:rPr>
        <w:t>.</w:t>
      </w:r>
      <w:r w:rsidR="00A23742" w:rsidRPr="0070772A">
        <w:rPr>
          <w:rFonts w:ascii="Palatino Linotype" w:hAnsi="Palatino Linotype"/>
          <w:sz w:val="22"/>
        </w:rPr>
        <w:t xml:space="preserve"> </w:t>
      </w:r>
      <w:r w:rsidRPr="0070772A">
        <w:rPr>
          <w:rFonts w:ascii="Palatino Linotype" w:hAnsi="Palatino Linotype"/>
          <w:sz w:val="22"/>
        </w:rPr>
        <w:t>Em geral, os números mostram uma convergência para seguir as normas internacionais nas disciplinas ofertadas pelas IES, porém</w:t>
      </w:r>
      <w:r w:rsidR="004B2ADC" w:rsidRPr="0070772A">
        <w:rPr>
          <w:rFonts w:ascii="Palatino Linotype" w:hAnsi="Palatino Linotype"/>
          <w:sz w:val="22"/>
        </w:rPr>
        <w:t>,</w:t>
      </w:r>
      <w:r w:rsidRPr="0070772A">
        <w:rPr>
          <w:rFonts w:ascii="Palatino Linotype" w:hAnsi="Palatino Linotype"/>
          <w:sz w:val="22"/>
        </w:rPr>
        <w:t xml:space="preserve"> alguns temas ainda não são bem explorados.</w:t>
      </w:r>
    </w:p>
    <w:p w:rsidR="000B731D" w:rsidRPr="0070772A" w:rsidRDefault="000B731D" w:rsidP="00BE160E">
      <w:pPr>
        <w:rPr>
          <w:rFonts w:ascii="Palatino Linotype" w:hAnsi="Palatino Linotype"/>
          <w:sz w:val="22"/>
        </w:rPr>
      </w:pPr>
      <w:r w:rsidRPr="0070772A">
        <w:rPr>
          <w:rFonts w:ascii="Palatino Linotype" w:hAnsi="Palatino Linotype"/>
          <w:sz w:val="22"/>
        </w:rPr>
        <w:t xml:space="preserve">Na </w:t>
      </w:r>
      <w:r w:rsidR="004B2ADC" w:rsidRPr="0070772A">
        <w:rPr>
          <w:rFonts w:ascii="Palatino Linotype" w:hAnsi="Palatino Linotype"/>
          <w:sz w:val="22"/>
        </w:rPr>
        <w:t>T</w:t>
      </w:r>
      <w:r w:rsidR="00987440" w:rsidRPr="0070772A">
        <w:rPr>
          <w:rFonts w:ascii="Palatino Linotype" w:hAnsi="Palatino Linotype"/>
          <w:sz w:val="22"/>
        </w:rPr>
        <w:t>abela 2</w:t>
      </w:r>
      <w:r w:rsidRPr="0070772A">
        <w:rPr>
          <w:rFonts w:ascii="Palatino Linotype" w:hAnsi="Palatino Linotype"/>
          <w:sz w:val="22"/>
        </w:rPr>
        <w:t xml:space="preserve"> estão os percentuais dos blocos de conhecimento com maior quantidade de disciplinas similares em relação ao total de </w:t>
      </w:r>
      <w:r w:rsidR="004B2ADC" w:rsidRPr="0070772A">
        <w:rPr>
          <w:rFonts w:ascii="Palatino Linotype" w:hAnsi="Palatino Linotype"/>
          <w:sz w:val="22"/>
        </w:rPr>
        <w:t xml:space="preserve">disciplinas </w:t>
      </w:r>
      <w:r w:rsidRPr="0070772A">
        <w:rPr>
          <w:rFonts w:ascii="Palatino Linotype" w:hAnsi="Palatino Linotype"/>
          <w:sz w:val="22"/>
        </w:rPr>
        <w:t>do Currículo Mundial.</w:t>
      </w:r>
    </w:p>
    <w:p w:rsidR="004B2ADC" w:rsidRPr="0070772A" w:rsidRDefault="004B2ADC" w:rsidP="00BE160E">
      <w:pPr>
        <w:jc w:val="center"/>
        <w:rPr>
          <w:rFonts w:ascii="Palatino Linotype" w:eastAsia="Times New Roman" w:hAnsi="Palatino Linotype"/>
          <w:b/>
          <w:sz w:val="22"/>
          <w:lang w:eastAsia="pt-BR"/>
        </w:rPr>
      </w:pPr>
    </w:p>
    <w:tbl>
      <w:tblPr>
        <w:tblW w:w="0" w:type="auto"/>
        <w:tblBorders>
          <w:top w:val="single" w:sz="12" w:space="0" w:color="auto"/>
          <w:bottom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02"/>
        <w:gridCol w:w="669"/>
      </w:tblGrid>
      <w:tr w:rsidR="0070772A" w:rsidRPr="0070772A" w:rsidTr="00051BCD">
        <w:trPr>
          <w:trHeight w:val="20"/>
        </w:trPr>
        <w:tc>
          <w:tcPr>
            <w:tcW w:w="0" w:type="auto"/>
            <w:gridSpan w:val="2"/>
            <w:tcBorders>
              <w:top w:val="nil"/>
              <w:bottom w:val="nil"/>
            </w:tcBorders>
            <w:shd w:val="clear" w:color="auto" w:fill="auto"/>
            <w:noWrap/>
            <w:vAlign w:val="center"/>
          </w:tcPr>
          <w:p w:rsidR="00051BCD" w:rsidRPr="0070772A" w:rsidRDefault="00051BCD" w:rsidP="00BE160E">
            <w:pPr>
              <w:ind w:firstLine="0"/>
              <w:jc w:val="center"/>
              <w:rPr>
                <w:rFonts w:ascii="Palatino Linotype" w:eastAsia="Times New Roman" w:hAnsi="Palatino Linotype"/>
                <w:sz w:val="18"/>
                <w:szCs w:val="18"/>
                <w:lang w:eastAsia="pt-BR"/>
              </w:rPr>
            </w:pPr>
            <w:r w:rsidRPr="0070772A">
              <w:rPr>
                <w:rFonts w:ascii="Palatino Linotype" w:hAnsi="Palatino Linotype"/>
                <w:b/>
                <w:sz w:val="18"/>
                <w:szCs w:val="18"/>
              </w:rPr>
              <w:t xml:space="preserve">Tabela 2 - </w:t>
            </w:r>
            <w:r w:rsidRPr="0070772A">
              <w:rPr>
                <w:rFonts w:ascii="Palatino Linotype" w:eastAsia="Times New Roman" w:hAnsi="Palatino Linotype"/>
                <w:b/>
                <w:sz w:val="18"/>
                <w:szCs w:val="18"/>
                <w:lang w:eastAsia="pt-BR"/>
              </w:rPr>
              <w:t>Percentual de similaridade entre Blocos de Conhecimentos e as disciplinas das universidades pesquisadas</w:t>
            </w:r>
          </w:p>
        </w:tc>
      </w:tr>
      <w:tr w:rsidR="00A559A9" w:rsidRPr="0070772A" w:rsidTr="00051BCD">
        <w:trPr>
          <w:trHeight w:val="20"/>
        </w:trPr>
        <w:tc>
          <w:tcPr>
            <w:tcW w:w="0" w:type="auto"/>
            <w:tcBorders>
              <w:top w:val="single" w:sz="12" w:space="0" w:color="auto"/>
            </w:tcBorders>
            <w:shd w:val="clear" w:color="auto" w:fill="auto"/>
            <w:noWrap/>
            <w:vAlign w:val="center"/>
            <w:hideMark/>
          </w:tcPr>
          <w:p w:rsidR="00A559A9" w:rsidRPr="0070772A" w:rsidRDefault="00A559A9"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Blocos de conhecimento</w:t>
            </w:r>
          </w:p>
        </w:tc>
        <w:tc>
          <w:tcPr>
            <w:tcW w:w="0" w:type="auto"/>
            <w:tcBorders>
              <w:top w:val="single" w:sz="12" w:space="0" w:color="auto"/>
            </w:tcBorders>
            <w:shd w:val="clear" w:color="auto" w:fill="auto"/>
            <w:noWrap/>
            <w:vAlign w:val="center"/>
            <w:hideMark/>
          </w:tcPr>
          <w:p w:rsidR="00A559A9" w:rsidRPr="0070772A" w:rsidRDefault="00A559A9"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w:t>
            </w:r>
          </w:p>
        </w:tc>
      </w:tr>
      <w:tr w:rsidR="00A559A9" w:rsidRPr="0070772A" w:rsidTr="00051BCD">
        <w:trPr>
          <w:trHeight w:val="20"/>
        </w:trPr>
        <w:tc>
          <w:tcPr>
            <w:tcW w:w="0" w:type="auto"/>
            <w:shd w:val="clear" w:color="auto" w:fill="auto"/>
            <w:noWrap/>
            <w:vAlign w:val="center"/>
            <w:hideMark/>
          </w:tcPr>
          <w:p w:rsidR="00A559A9" w:rsidRPr="0070772A" w:rsidRDefault="00A559A9" w:rsidP="00BE160E">
            <w:pPr>
              <w:ind w:firstLine="0"/>
              <w:jc w:val="left"/>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Conhecimento Administrativo e Organizacional</w:t>
            </w:r>
          </w:p>
        </w:tc>
        <w:tc>
          <w:tcPr>
            <w:tcW w:w="0" w:type="auto"/>
            <w:shd w:val="clear" w:color="auto" w:fill="auto"/>
            <w:noWrap/>
            <w:vAlign w:val="center"/>
            <w:hideMark/>
          </w:tcPr>
          <w:p w:rsidR="00A559A9" w:rsidRPr="0070772A" w:rsidRDefault="00A559A9"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20,5</w:t>
            </w:r>
          </w:p>
        </w:tc>
      </w:tr>
      <w:tr w:rsidR="00A559A9" w:rsidRPr="0070772A" w:rsidTr="00051BCD">
        <w:trPr>
          <w:trHeight w:val="20"/>
        </w:trPr>
        <w:tc>
          <w:tcPr>
            <w:tcW w:w="0" w:type="auto"/>
            <w:shd w:val="clear" w:color="auto" w:fill="auto"/>
            <w:noWrap/>
            <w:vAlign w:val="center"/>
            <w:hideMark/>
          </w:tcPr>
          <w:p w:rsidR="00A559A9" w:rsidRPr="0070772A" w:rsidRDefault="00A559A9" w:rsidP="00BE160E">
            <w:pPr>
              <w:ind w:firstLine="0"/>
              <w:jc w:val="left"/>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Tecnologia da Informação</w:t>
            </w:r>
          </w:p>
        </w:tc>
        <w:tc>
          <w:tcPr>
            <w:tcW w:w="0" w:type="auto"/>
            <w:shd w:val="clear" w:color="auto" w:fill="auto"/>
            <w:noWrap/>
            <w:vAlign w:val="center"/>
            <w:hideMark/>
          </w:tcPr>
          <w:p w:rsidR="00A559A9" w:rsidRPr="0070772A" w:rsidRDefault="00A559A9"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0,4</w:t>
            </w:r>
          </w:p>
        </w:tc>
      </w:tr>
      <w:tr w:rsidR="00A559A9" w:rsidRPr="0070772A" w:rsidTr="00051BCD">
        <w:trPr>
          <w:trHeight w:val="20"/>
        </w:trPr>
        <w:tc>
          <w:tcPr>
            <w:tcW w:w="0" w:type="auto"/>
            <w:shd w:val="clear" w:color="auto" w:fill="auto"/>
            <w:noWrap/>
            <w:vAlign w:val="center"/>
            <w:hideMark/>
          </w:tcPr>
          <w:p w:rsidR="00A559A9" w:rsidRPr="0070772A" w:rsidRDefault="00A559A9" w:rsidP="00BE160E">
            <w:pPr>
              <w:ind w:firstLine="0"/>
              <w:jc w:val="left"/>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lastRenderedPageBreak/>
              <w:t>Conhecimentos Contábeis, Financeiros e assuntos afins</w:t>
            </w:r>
          </w:p>
        </w:tc>
        <w:tc>
          <w:tcPr>
            <w:tcW w:w="0" w:type="auto"/>
            <w:shd w:val="clear" w:color="auto" w:fill="auto"/>
            <w:noWrap/>
            <w:vAlign w:val="center"/>
            <w:hideMark/>
          </w:tcPr>
          <w:p w:rsidR="00A559A9" w:rsidRPr="0070772A" w:rsidRDefault="00A559A9"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49,0</w:t>
            </w:r>
          </w:p>
        </w:tc>
      </w:tr>
      <w:tr w:rsidR="00A559A9" w:rsidRPr="0070772A" w:rsidTr="00051BCD">
        <w:trPr>
          <w:trHeight w:val="20"/>
        </w:trPr>
        <w:tc>
          <w:tcPr>
            <w:tcW w:w="0" w:type="auto"/>
            <w:shd w:val="clear" w:color="auto" w:fill="auto"/>
            <w:noWrap/>
            <w:vAlign w:val="center"/>
            <w:hideMark/>
          </w:tcPr>
          <w:p w:rsidR="00A559A9" w:rsidRPr="0070772A" w:rsidRDefault="00A559A9" w:rsidP="00BE160E">
            <w:pPr>
              <w:ind w:firstLine="0"/>
              <w:jc w:val="left"/>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Conhecimento (avançado) em Contabilidade, Finanças e assuntos afins</w:t>
            </w:r>
          </w:p>
        </w:tc>
        <w:tc>
          <w:tcPr>
            <w:tcW w:w="0" w:type="auto"/>
            <w:shd w:val="clear" w:color="auto" w:fill="auto"/>
            <w:noWrap/>
            <w:vAlign w:val="center"/>
            <w:hideMark/>
          </w:tcPr>
          <w:p w:rsidR="00A559A9" w:rsidRPr="0070772A" w:rsidRDefault="00A559A9"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30,1</w:t>
            </w:r>
          </w:p>
        </w:tc>
      </w:tr>
    </w:tbl>
    <w:p w:rsidR="004B2ADC" w:rsidRPr="0070772A" w:rsidRDefault="004B2ADC" w:rsidP="00BE160E">
      <w:pPr>
        <w:ind w:firstLine="0"/>
        <w:rPr>
          <w:rFonts w:ascii="Palatino Linotype" w:hAnsi="Palatino Linotype"/>
          <w:sz w:val="18"/>
          <w:szCs w:val="18"/>
        </w:rPr>
      </w:pPr>
      <w:r w:rsidRPr="0070772A">
        <w:rPr>
          <w:rFonts w:ascii="Palatino Linotype" w:hAnsi="Palatino Linotype"/>
          <w:sz w:val="18"/>
          <w:szCs w:val="18"/>
        </w:rPr>
        <w:t>Fonte: dados da pesquisa.</w:t>
      </w:r>
    </w:p>
    <w:p w:rsidR="004B2ADC" w:rsidRPr="0070772A" w:rsidRDefault="004B2ADC" w:rsidP="00BE160E">
      <w:pPr>
        <w:rPr>
          <w:rFonts w:ascii="Palatino Linotype" w:hAnsi="Palatino Linotype"/>
          <w:sz w:val="22"/>
        </w:rPr>
      </w:pPr>
    </w:p>
    <w:p w:rsidR="009F1A90" w:rsidRPr="0070772A" w:rsidRDefault="000B731D" w:rsidP="00BE160E">
      <w:pPr>
        <w:rPr>
          <w:rFonts w:ascii="Palatino Linotype" w:hAnsi="Palatino Linotype"/>
          <w:sz w:val="22"/>
        </w:rPr>
      </w:pPr>
      <w:r w:rsidRPr="0070772A">
        <w:rPr>
          <w:rFonts w:ascii="Palatino Linotype" w:hAnsi="Palatino Linotype"/>
          <w:sz w:val="22"/>
        </w:rPr>
        <w:t xml:space="preserve">De acordo com a </w:t>
      </w:r>
      <w:r w:rsidR="004B2ADC" w:rsidRPr="0070772A">
        <w:rPr>
          <w:rFonts w:ascii="Palatino Linotype" w:hAnsi="Palatino Linotype"/>
          <w:sz w:val="22"/>
        </w:rPr>
        <w:t>T</w:t>
      </w:r>
      <w:r w:rsidR="00962F4B" w:rsidRPr="0070772A">
        <w:rPr>
          <w:rFonts w:ascii="Palatino Linotype" w:hAnsi="Palatino Linotype"/>
          <w:sz w:val="22"/>
        </w:rPr>
        <w:t>abela 2</w:t>
      </w:r>
      <w:r w:rsidRPr="0070772A">
        <w:rPr>
          <w:rFonts w:ascii="Palatino Linotype" w:hAnsi="Palatino Linotype"/>
          <w:sz w:val="22"/>
        </w:rPr>
        <w:t xml:space="preserve">, </w:t>
      </w:r>
      <w:r w:rsidR="004B2ADC" w:rsidRPr="0070772A">
        <w:rPr>
          <w:rFonts w:ascii="Palatino Linotype" w:hAnsi="Palatino Linotype"/>
          <w:sz w:val="22"/>
        </w:rPr>
        <w:t>o</w:t>
      </w:r>
      <w:r w:rsidR="00621EF2" w:rsidRPr="0070772A">
        <w:rPr>
          <w:rFonts w:ascii="Palatino Linotype" w:hAnsi="Palatino Linotype"/>
          <w:sz w:val="22"/>
        </w:rPr>
        <w:t xml:space="preserve"> estudo evidencia </w:t>
      </w:r>
      <w:r w:rsidR="004B2ADC" w:rsidRPr="0070772A">
        <w:rPr>
          <w:rFonts w:ascii="Palatino Linotype" w:hAnsi="Palatino Linotype"/>
          <w:sz w:val="22"/>
        </w:rPr>
        <w:t xml:space="preserve">maior similaridade </w:t>
      </w:r>
      <w:r w:rsidR="00621EF2" w:rsidRPr="0070772A">
        <w:rPr>
          <w:rFonts w:ascii="Palatino Linotype" w:hAnsi="Palatino Linotype"/>
          <w:sz w:val="22"/>
        </w:rPr>
        <w:t xml:space="preserve">nas áreas de Conhecimentos Contábeis, Financeiros e assuntos afins </w:t>
      </w:r>
      <w:r w:rsidR="004B2ADC" w:rsidRPr="0070772A">
        <w:rPr>
          <w:rFonts w:ascii="Palatino Linotype" w:hAnsi="Palatino Linotype"/>
          <w:sz w:val="22"/>
        </w:rPr>
        <w:t xml:space="preserve">(49%) </w:t>
      </w:r>
      <w:r w:rsidR="00621EF2" w:rsidRPr="0070772A">
        <w:rPr>
          <w:rFonts w:ascii="Palatino Linotype" w:hAnsi="Palatino Linotype"/>
          <w:sz w:val="22"/>
        </w:rPr>
        <w:t>e Conhecimento (avançado) em Contabilidade, Finanças e assuntos afins</w:t>
      </w:r>
      <w:r w:rsidR="004B2ADC" w:rsidRPr="0070772A">
        <w:rPr>
          <w:rFonts w:ascii="Palatino Linotype" w:hAnsi="Palatino Linotype"/>
          <w:sz w:val="22"/>
        </w:rPr>
        <w:t xml:space="preserve"> (30,1%)</w:t>
      </w:r>
      <w:r w:rsidR="009F1A90" w:rsidRPr="0070772A">
        <w:rPr>
          <w:rFonts w:ascii="Palatino Linotype" w:hAnsi="Palatino Linotype"/>
          <w:sz w:val="22"/>
        </w:rPr>
        <w:t xml:space="preserve"> nas IES da ACAFE do que observado no </w:t>
      </w:r>
      <w:r w:rsidR="00621EF2" w:rsidRPr="0070772A">
        <w:rPr>
          <w:rFonts w:ascii="Palatino Linotype" w:hAnsi="Palatino Linotype"/>
          <w:sz w:val="22"/>
        </w:rPr>
        <w:t xml:space="preserve">estudo de Segantini </w:t>
      </w:r>
      <w:r w:rsidR="009117C8" w:rsidRPr="0070772A">
        <w:rPr>
          <w:rFonts w:ascii="Palatino Linotype" w:hAnsi="Palatino Linotype"/>
          <w:i/>
          <w:sz w:val="22"/>
        </w:rPr>
        <w:t>et al.</w:t>
      </w:r>
      <w:r w:rsidR="00621EF2" w:rsidRPr="0070772A">
        <w:rPr>
          <w:rFonts w:ascii="Palatino Linotype" w:hAnsi="Palatino Linotype"/>
          <w:sz w:val="22"/>
        </w:rPr>
        <w:t xml:space="preserve"> (2013)</w:t>
      </w:r>
      <w:r w:rsidR="009F1A90" w:rsidRPr="0070772A">
        <w:rPr>
          <w:rFonts w:ascii="Palatino Linotype" w:hAnsi="Palatino Linotype"/>
          <w:sz w:val="22"/>
        </w:rPr>
        <w:t xml:space="preserve"> com quatro universidades do Mercosul</w:t>
      </w:r>
      <w:r w:rsidR="00621EF2" w:rsidRPr="0070772A">
        <w:rPr>
          <w:rFonts w:ascii="Palatino Linotype" w:hAnsi="Palatino Linotype"/>
          <w:sz w:val="22"/>
        </w:rPr>
        <w:t xml:space="preserve">, que nos mesmos blocos </w:t>
      </w:r>
      <w:r w:rsidR="00567F00" w:rsidRPr="0070772A">
        <w:rPr>
          <w:rFonts w:ascii="Palatino Linotype" w:hAnsi="Palatino Linotype"/>
          <w:sz w:val="22"/>
        </w:rPr>
        <w:t>encontrou 35</w:t>
      </w:r>
      <w:r w:rsidR="00621EF2" w:rsidRPr="0070772A">
        <w:rPr>
          <w:rFonts w:ascii="Palatino Linotype" w:hAnsi="Palatino Linotype"/>
          <w:sz w:val="22"/>
        </w:rPr>
        <w:t>,71% e 17,86%</w:t>
      </w:r>
      <w:r w:rsidR="004B2ADC" w:rsidRPr="0070772A">
        <w:rPr>
          <w:rFonts w:ascii="Palatino Linotype" w:hAnsi="Palatino Linotype"/>
          <w:sz w:val="22"/>
        </w:rPr>
        <w:t>. Assim</w:t>
      </w:r>
      <w:r w:rsidR="00621EF2" w:rsidRPr="0070772A">
        <w:rPr>
          <w:rFonts w:ascii="Palatino Linotype" w:hAnsi="Palatino Linotype"/>
          <w:sz w:val="22"/>
        </w:rPr>
        <w:t xml:space="preserve">, </w:t>
      </w:r>
      <w:r w:rsidR="004B2ADC" w:rsidRPr="0070772A">
        <w:rPr>
          <w:rFonts w:ascii="Palatino Linotype" w:hAnsi="Palatino Linotype"/>
          <w:sz w:val="22"/>
        </w:rPr>
        <w:t xml:space="preserve">infere-se que as matrizes curriculares </w:t>
      </w:r>
      <w:r w:rsidR="009F1A90" w:rsidRPr="0070772A">
        <w:rPr>
          <w:rFonts w:ascii="Palatino Linotype" w:hAnsi="Palatino Linotype"/>
          <w:sz w:val="22"/>
        </w:rPr>
        <w:t xml:space="preserve">das IES da ACAFE </w:t>
      </w:r>
      <w:r w:rsidR="00621EF2" w:rsidRPr="0070772A">
        <w:rPr>
          <w:rFonts w:ascii="Palatino Linotype" w:hAnsi="Palatino Linotype"/>
          <w:sz w:val="22"/>
        </w:rPr>
        <w:t>est</w:t>
      </w:r>
      <w:r w:rsidR="004B2ADC" w:rsidRPr="0070772A">
        <w:rPr>
          <w:rFonts w:ascii="Palatino Linotype" w:hAnsi="Palatino Linotype"/>
          <w:sz w:val="22"/>
        </w:rPr>
        <w:t xml:space="preserve">ão </w:t>
      </w:r>
      <w:r w:rsidR="00621EF2" w:rsidRPr="0070772A">
        <w:rPr>
          <w:rFonts w:ascii="Palatino Linotype" w:hAnsi="Palatino Linotype"/>
          <w:sz w:val="22"/>
        </w:rPr>
        <w:t>mais voltad</w:t>
      </w:r>
      <w:r w:rsidR="004B2ADC" w:rsidRPr="0070772A">
        <w:rPr>
          <w:rFonts w:ascii="Palatino Linotype" w:hAnsi="Palatino Linotype"/>
          <w:sz w:val="22"/>
        </w:rPr>
        <w:t>as a</w:t>
      </w:r>
      <w:r w:rsidR="00621EF2" w:rsidRPr="0070772A">
        <w:rPr>
          <w:rFonts w:ascii="Palatino Linotype" w:hAnsi="Palatino Linotype"/>
          <w:sz w:val="22"/>
        </w:rPr>
        <w:t xml:space="preserve"> assunto</w:t>
      </w:r>
      <w:r w:rsidR="004B2ADC" w:rsidRPr="0070772A">
        <w:rPr>
          <w:rFonts w:ascii="Palatino Linotype" w:hAnsi="Palatino Linotype"/>
          <w:sz w:val="22"/>
        </w:rPr>
        <w:t>s</w:t>
      </w:r>
      <w:r w:rsidR="00621EF2" w:rsidRPr="0070772A">
        <w:rPr>
          <w:rFonts w:ascii="Palatino Linotype" w:hAnsi="Palatino Linotype"/>
          <w:sz w:val="22"/>
        </w:rPr>
        <w:t xml:space="preserve"> na área contábil d</w:t>
      </w:r>
      <w:r w:rsidR="004B2ADC" w:rsidRPr="0070772A">
        <w:rPr>
          <w:rFonts w:ascii="Palatino Linotype" w:hAnsi="Palatino Linotype"/>
          <w:sz w:val="22"/>
        </w:rPr>
        <w:t xml:space="preserve">o </w:t>
      </w:r>
      <w:r w:rsidR="00621EF2" w:rsidRPr="0070772A">
        <w:rPr>
          <w:rFonts w:ascii="Palatino Linotype" w:hAnsi="Palatino Linotype"/>
          <w:sz w:val="22"/>
        </w:rPr>
        <w:t xml:space="preserve">que em conhecimentos administrativos. </w:t>
      </w:r>
    </w:p>
    <w:p w:rsidR="00621EF2" w:rsidRPr="0070772A" w:rsidRDefault="005F6844" w:rsidP="00BE160E">
      <w:pPr>
        <w:rPr>
          <w:rFonts w:ascii="Palatino Linotype" w:hAnsi="Palatino Linotype"/>
          <w:sz w:val="22"/>
        </w:rPr>
      </w:pPr>
      <w:r w:rsidRPr="0070772A">
        <w:rPr>
          <w:rFonts w:ascii="Palatino Linotype" w:hAnsi="Palatino Linotype"/>
          <w:sz w:val="22"/>
        </w:rPr>
        <w:t xml:space="preserve">Encontrou-se </w:t>
      </w:r>
      <w:r w:rsidR="00EE2CCD" w:rsidRPr="0070772A">
        <w:rPr>
          <w:rFonts w:ascii="Palatino Linotype" w:hAnsi="Palatino Linotype"/>
          <w:sz w:val="22"/>
        </w:rPr>
        <w:t>um total de 79,1% no</w:t>
      </w:r>
      <w:r w:rsidR="002545D0" w:rsidRPr="0070772A">
        <w:rPr>
          <w:rFonts w:ascii="Palatino Linotype" w:hAnsi="Palatino Linotype"/>
          <w:sz w:val="22"/>
        </w:rPr>
        <w:t>s</w:t>
      </w:r>
      <w:r w:rsidR="00EE2CCD" w:rsidRPr="0070772A">
        <w:rPr>
          <w:rFonts w:ascii="Palatino Linotype" w:hAnsi="Palatino Linotype"/>
          <w:sz w:val="22"/>
        </w:rPr>
        <w:t xml:space="preserve"> bloco</w:t>
      </w:r>
      <w:r w:rsidR="002545D0" w:rsidRPr="0070772A">
        <w:rPr>
          <w:rFonts w:ascii="Palatino Linotype" w:hAnsi="Palatino Linotype"/>
          <w:sz w:val="22"/>
        </w:rPr>
        <w:t>s</w:t>
      </w:r>
      <w:r w:rsidR="00EE2CCD" w:rsidRPr="0070772A">
        <w:rPr>
          <w:rFonts w:ascii="Palatino Linotype" w:hAnsi="Palatino Linotype"/>
          <w:sz w:val="22"/>
        </w:rPr>
        <w:t xml:space="preserve"> de contabilidade e assuntos afi</w:t>
      </w:r>
      <w:r w:rsidR="00C36FB3" w:rsidRPr="0070772A">
        <w:rPr>
          <w:rFonts w:ascii="Palatino Linotype" w:hAnsi="Palatino Linotype"/>
          <w:sz w:val="22"/>
        </w:rPr>
        <w:t>ns. O resultado foi relativamente semelhante a</w:t>
      </w:r>
      <w:r w:rsidR="00EE2CCD" w:rsidRPr="0070772A">
        <w:rPr>
          <w:rFonts w:ascii="Palatino Linotype" w:hAnsi="Palatino Linotype"/>
          <w:sz w:val="22"/>
        </w:rPr>
        <w:t>o</w:t>
      </w:r>
      <w:r w:rsidR="009F1A90" w:rsidRPr="0070772A">
        <w:rPr>
          <w:rFonts w:ascii="Palatino Linotype" w:hAnsi="Palatino Linotype"/>
          <w:sz w:val="22"/>
        </w:rPr>
        <w:t xml:space="preserve"> estudo de </w:t>
      </w:r>
      <w:proofErr w:type="spellStart"/>
      <w:r w:rsidR="00113F28" w:rsidRPr="0070772A">
        <w:rPr>
          <w:rFonts w:ascii="Palatino Linotype" w:hAnsi="Palatino Linotype"/>
          <w:sz w:val="22"/>
        </w:rPr>
        <w:t>Czesnat</w:t>
      </w:r>
      <w:proofErr w:type="spellEnd"/>
      <w:r w:rsidR="00113F28" w:rsidRPr="0070772A">
        <w:rPr>
          <w:rFonts w:ascii="Palatino Linotype" w:hAnsi="Palatino Linotype"/>
          <w:sz w:val="22"/>
        </w:rPr>
        <w:t>, Cunha e Domingues (2009)</w:t>
      </w:r>
      <w:r w:rsidR="002545D0" w:rsidRPr="0070772A">
        <w:rPr>
          <w:rFonts w:ascii="Palatino Linotype" w:hAnsi="Palatino Linotype"/>
          <w:sz w:val="22"/>
        </w:rPr>
        <w:t>,</w:t>
      </w:r>
      <w:r w:rsidR="00EE2CCD" w:rsidRPr="0070772A">
        <w:rPr>
          <w:rFonts w:ascii="Palatino Linotype" w:hAnsi="Palatino Linotype"/>
          <w:sz w:val="22"/>
        </w:rPr>
        <w:t xml:space="preserve"> </w:t>
      </w:r>
      <w:r w:rsidR="002545D0" w:rsidRPr="0070772A">
        <w:rPr>
          <w:rFonts w:ascii="Palatino Linotype" w:hAnsi="Palatino Linotype"/>
          <w:sz w:val="22"/>
        </w:rPr>
        <w:t xml:space="preserve">que encontraram nesses mesmos blocos </w:t>
      </w:r>
      <w:r w:rsidR="00621EF2" w:rsidRPr="0070772A">
        <w:rPr>
          <w:rFonts w:ascii="Palatino Linotype" w:hAnsi="Palatino Linotype"/>
          <w:sz w:val="22"/>
        </w:rPr>
        <w:t>54,2%</w:t>
      </w:r>
      <w:r w:rsidR="009F1A90" w:rsidRPr="0070772A">
        <w:rPr>
          <w:rFonts w:ascii="Palatino Linotype" w:hAnsi="Palatino Linotype"/>
          <w:sz w:val="22"/>
        </w:rPr>
        <w:t xml:space="preserve"> de similaridade</w:t>
      </w:r>
      <w:r w:rsidR="00EE2CCD" w:rsidRPr="0070772A">
        <w:rPr>
          <w:rFonts w:ascii="Palatino Linotype" w:hAnsi="Palatino Linotype"/>
          <w:sz w:val="22"/>
        </w:rPr>
        <w:t xml:space="preserve">. Vale mencionar que em </w:t>
      </w:r>
      <w:r w:rsidR="00F813B0" w:rsidRPr="0070772A">
        <w:rPr>
          <w:rFonts w:ascii="Palatino Linotype" w:hAnsi="Palatino Linotype"/>
          <w:sz w:val="22"/>
        </w:rPr>
        <w:t xml:space="preserve">relação </w:t>
      </w:r>
      <w:r w:rsidR="002545D0" w:rsidRPr="0070772A">
        <w:rPr>
          <w:rFonts w:ascii="Palatino Linotype" w:hAnsi="Palatino Linotype"/>
          <w:sz w:val="22"/>
        </w:rPr>
        <w:t>à</w:t>
      </w:r>
      <w:r w:rsidR="00F813B0" w:rsidRPr="0070772A">
        <w:rPr>
          <w:rFonts w:ascii="Palatino Linotype" w:hAnsi="Palatino Linotype"/>
          <w:sz w:val="22"/>
        </w:rPr>
        <w:t>s tecnologias</w:t>
      </w:r>
      <w:r w:rsidR="002545D0" w:rsidRPr="0070772A">
        <w:rPr>
          <w:rFonts w:ascii="Palatino Linotype" w:hAnsi="Palatino Linotype"/>
          <w:sz w:val="22"/>
        </w:rPr>
        <w:t>,</w:t>
      </w:r>
      <w:r w:rsidR="00F813B0" w:rsidRPr="0070772A">
        <w:rPr>
          <w:rFonts w:ascii="Palatino Linotype" w:hAnsi="Palatino Linotype"/>
          <w:sz w:val="22"/>
        </w:rPr>
        <w:t xml:space="preserve"> </w:t>
      </w:r>
      <w:r w:rsidR="00EE2CCD" w:rsidRPr="0070772A">
        <w:rPr>
          <w:rFonts w:ascii="Palatino Linotype" w:hAnsi="Palatino Linotype"/>
          <w:sz w:val="22"/>
        </w:rPr>
        <w:t xml:space="preserve">houve um regresso quanto </w:t>
      </w:r>
      <w:r w:rsidR="00567F00" w:rsidRPr="0070772A">
        <w:rPr>
          <w:rFonts w:ascii="Palatino Linotype" w:hAnsi="Palatino Linotype"/>
          <w:sz w:val="22"/>
        </w:rPr>
        <w:t>à</w:t>
      </w:r>
      <w:r w:rsidR="00EE2CCD" w:rsidRPr="0070772A">
        <w:rPr>
          <w:rFonts w:ascii="Palatino Linotype" w:hAnsi="Palatino Linotype"/>
          <w:sz w:val="22"/>
        </w:rPr>
        <w:t xml:space="preserve"> similaridade entre os blocos de conhecimentos.</w:t>
      </w:r>
    </w:p>
    <w:p w:rsidR="003B6957" w:rsidRPr="0070772A" w:rsidRDefault="00A559A9" w:rsidP="00BE160E">
      <w:pPr>
        <w:rPr>
          <w:rFonts w:ascii="Palatino Linotype" w:hAnsi="Palatino Linotype"/>
          <w:sz w:val="22"/>
        </w:rPr>
      </w:pPr>
      <w:r w:rsidRPr="0070772A">
        <w:rPr>
          <w:rFonts w:ascii="Palatino Linotype" w:hAnsi="Palatino Linotype"/>
          <w:sz w:val="22"/>
        </w:rPr>
        <w:t xml:space="preserve">Na </w:t>
      </w:r>
      <w:r w:rsidR="009F1A90" w:rsidRPr="0070772A">
        <w:rPr>
          <w:rFonts w:ascii="Palatino Linotype" w:hAnsi="Palatino Linotype"/>
          <w:sz w:val="22"/>
        </w:rPr>
        <w:t>T</w:t>
      </w:r>
      <w:r w:rsidR="00987440" w:rsidRPr="0070772A">
        <w:rPr>
          <w:rFonts w:ascii="Palatino Linotype" w:hAnsi="Palatino Linotype"/>
          <w:sz w:val="22"/>
        </w:rPr>
        <w:t>abela 3</w:t>
      </w:r>
      <w:r w:rsidR="00C33112" w:rsidRPr="0070772A">
        <w:rPr>
          <w:rFonts w:ascii="Palatino Linotype" w:hAnsi="Palatino Linotype"/>
          <w:sz w:val="22"/>
        </w:rPr>
        <w:t xml:space="preserve"> percebe-se que </w:t>
      </w:r>
      <w:r w:rsidR="009F1A90" w:rsidRPr="0070772A">
        <w:rPr>
          <w:rFonts w:ascii="Palatino Linotype" w:hAnsi="Palatino Linotype"/>
          <w:sz w:val="22"/>
        </w:rPr>
        <w:t xml:space="preserve">se </w:t>
      </w:r>
      <w:r w:rsidR="00C33112" w:rsidRPr="0070772A">
        <w:rPr>
          <w:rFonts w:ascii="Palatino Linotype" w:hAnsi="Palatino Linotype"/>
          <w:sz w:val="22"/>
        </w:rPr>
        <w:t xml:space="preserve">trabalha mais as cadeiras </w:t>
      </w:r>
      <w:r w:rsidR="00D51436" w:rsidRPr="0070772A">
        <w:rPr>
          <w:rFonts w:ascii="Palatino Linotype" w:hAnsi="Palatino Linotype"/>
          <w:sz w:val="22"/>
        </w:rPr>
        <w:t>de Economia</w:t>
      </w:r>
      <w:r w:rsidR="00C33112" w:rsidRPr="0070772A">
        <w:rPr>
          <w:rFonts w:ascii="Palatino Linotype" w:hAnsi="Palatino Linotype"/>
          <w:sz w:val="22"/>
        </w:rPr>
        <w:t>, Administração e Métodos Quantitativos para Empresas, e</w:t>
      </w:r>
      <w:r w:rsidR="009F1A90" w:rsidRPr="0070772A">
        <w:rPr>
          <w:rFonts w:ascii="Palatino Linotype" w:hAnsi="Palatino Linotype"/>
          <w:sz w:val="22"/>
        </w:rPr>
        <w:t>nquanto</w:t>
      </w:r>
      <w:r w:rsidR="00C33112" w:rsidRPr="0070772A">
        <w:rPr>
          <w:rFonts w:ascii="Palatino Linotype" w:hAnsi="Palatino Linotype"/>
          <w:sz w:val="22"/>
        </w:rPr>
        <w:t xml:space="preserve"> as </w:t>
      </w:r>
      <w:r w:rsidR="009F1A90" w:rsidRPr="0070772A">
        <w:rPr>
          <w:rFonts w:ascii="Palatino Linotype" w:hAnsi="Palatino Linotype"/>
          <w:sz w:val="22"/>
        </w:rPr>
        <w:t xml:space="preserve">menos trabalhadas são </w:t>
      </w:r>
      <w:r w:rsidR="00C33112" w:rsidRPr="0070772A">
        <w:rPr>
          <w:rFonts w:ascii="Palatino Linotype" w:hAnsi="Palatino Linotype"/>
          <w:sz w:val="22"/>
        </w:rPr>
        <w:t xml:space="preserve">Marketing e Mercado Internacional. </w:t>
      </w:r>
      <w:r w:rsidR="002545D0" w:rsidRPr="0070772A">
        <w:rPr>
          <w:rFonts w:ascii="Palatino Linotype" w:hAnsi="Palatino Linotype"/>
          <w:sz w:val="22"/>
        </w:rPr>
        <w:t>Este resultado pode indicar a v</w:t>
      </w:r>
      <w:r w:rsidR="00C33112" w:rsidRPr="0070772A">
        <w:rPr>
          <w:rFonts w:ascii="Palatino Linotype" w:hAnsi="Palatino Linotype"/>
          <w:sz w:val="22"/>
        </w:rPr>
        <w:t>aloriza</w:t>
      </w:r>
      <w:r w:rsidR="002545D0" w:rsidRPr="0070772A">
        <w:rPr>
          <w:rFonts w:ascii="Palatino Linotype" w:hAnsi="Palatino Linotype"/>
          <w:sz w:val="22"/>
        </w:rPr>
        <w:t>ção de um</w:t>
      </w:r>
      <w:r w:rsidR="00C33112" w:rsidRPr="0070772A">
        <w:rPr>
          <w:rFonts w:ascii="Palatino Linotype" w:hAnsi="Palatino Linotype"/>
          <w:sz w:val="22"/>
        </w:rPr>
        <w:t xml:space="preserve">a visão holística dos estudos econômicos, </w:t>
      </w:r>
      <w:r w:rsidR="002545D0" w:rsidRPr="0070772A">
        <w:rPr>
          <w:rFonts w:ascii="Palatino Linotype" w:hAnsi="Palatino Linotype"/>
          <w:sz w:val="22"/>
        </w:rPr>
        <w:t xml:space="preserve">uma busca por uma </w:t>
      </w:r>
      <w:r w:rsidR="00C33112" w:rsidRPr="0070772A">
        <w:rPr>
          <w:rFonts w:ascii="Palatino Linotype" w:hAnsi="Palatino Linotype"/>
          <w:sz w:val="22"/>
        </w:rPr>
        <w:t xml:space="preserve">melhor </w:t>
      </w:r>
      <w:r w:rsidR="002545D0" w:rsidRPr="0070772A">
        <w:rPr>
          <w:rFonts w:ascii="Palatino Linotype" w:hAnsi="Palatino Linotype"/>
          <w:sz w:val="22"/>
        </w:rPr>
        <w:t>compreensão d</w:t>
      </w:r>
      <w:r w:rsidR="00C33112" w:rsidRPr="0070772A">
        <w:rPr>
          <w:rFonts w:ascii="Palatino Linotype" w:hAnsi="Palatino Linotype"/>
          <w:sz w:val="22"/>
        </w:rPr>
        <w:t>o mundo</w:t>
      </w:r>
      <w:r w:rsidR="002545D0" w:rsidRPr="0070772A">
        <w:rPr>
          <w:rFonts w:ascii="Palatino Linotype" w:hAnsi="Palatino Linotype"/>
          <w:sz w:val="22"/>
        </w:rPr>
        <w:t>. T</w:t>
      </w:r>
      <w:r w:rsidR="00C33112" w:rsidRPr="0070772A">
        <w:rPr>
          <w:rFonts w:ascii="Palatino Linotype" w:hAnsi="Palatino Linotype"/>
          <w:sz w:val="22"/>
        </w:rPr>
        <w:t xml:space="preserve">ambém se nota a força dos processos administrativos na formação do contabilista, e </w:t>
      </w:r>
      <w:r w:rsidR="009F1A90" w:rsidRPr="0070772A">
        <w:rPr>
          <w:rFonts w:ascii="Palatino Linotype" w:hAnsi="Palatino Linotype"/>
          <w:sz w:val="22"/>
        </w:rPr>
        <w:t>algo importante nesse sentido</w:t>
      </w:r>
      <w:r w:rsidR="00C33112" w:rsidRPr="0070772A">
        <w:rPr>
          <w:rFonts w:ascii="Palatino Linotype" w:hAnsi="Palatino Linotype"/>
          <w:sz w:val="22"/>
        </w:rPr>
        <w:t xml:space="preserve">, que são </w:t>
      </w:r>
      <w:r w:rsidR="00D51436" w:rsidRPr="0070772A">
        <w:rPr>
          <w:rFonts w:ascii="Palatino Linotype" w:hAnsi="Palatino Linotype"/>
          <w:sz w:val="22"/>
        </w:rPr>
        <w:t>os estudos</w:t>
      </w:r>
      <w:r w:rsidR="00C33112" w:rsidRPr="0070772A">
        <w:rPr>
          <w:rFonts w:ascii="Palatino Linotype" w:hAnsi="Palatino Linotype"/>
          <w:sz w:val="22"/>
        </w:rPr>
        <w:t xml:space="preserve"> dos métodos quantitativos e estatísticos.</w:t>
      </w:r>
    </w:p>
    <w:p w:rsidR="009F1A90" w:rsidRPr="0070772A" w:rsidRDefault="009F1A90" w:rsidP="00BE160E">
      <w:pPr>
        <w:jc w:val="center"/>
        <w:rPr>
          <w:rFonts w:ascii="Palatino Linotype" w:hAnsi="Palatino Linotype"/>
          <w:b/>
          <w:sz w:val="22"/>
        </w:rPr>
      </w:pPr>
    </w:p>
    <w:tbl>
      <w:tblPr>
        <w:tblW w:w="4977" w:type="pct"/>
        <w:tblInd w:w="70" w:type="dxa"/>
        <w:tblBorders>
          <w:top w:val="single" w:sz="12" w:space="0" w:color="auto"/>
          <w:bottom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77"/>
        <w:gridCol w:w="340"/>
        <w:gridCol w:w="340"/>
        <w:gridCol w:w="340"/>
        <w:gridCol w:w="340"/>
        <w:gridCol w:w="340"/>
        <w:gridCol w:w="340"/>
        <w:gridCol w:w="340"/>
        <w:gridCol w:w="339"/>
        <w:gridCol w:w="339"/>
        <w:gridCol w:w="339"/>
        <w:gridCol w:w="339"/>
        <w:gridCol w:w="339"/>
        <w:gridCol w:w="339"/>
        <w:gridCol w:w="339"/>
        <w:gridCol w:w="339"/>
        <w:gridCol w:w="339"/>
        <w:gridCol w:w="587"/>
        <w:gridCol w:w="634"/>
      </w:tblGrid>
      <w:tr w:rsidR="0070772A" w:rsidRPr="0070772A" w:rsidTr="005E6C11">
        <w:trPr>
          <w:cantSplit/>
          <w:trHeight w:val="20"/>
        </w:trPr>
        <w:tc>
          <w:tcPr>
            <w:tcW w:w="5000" w:type="pct"/>
            <w:gridSpan w:val="19"/>
            <w:tcBorders>
              <w:top w:val="nil"/>
              <w:bottom w:val="single" w:sz="12" w:space="0" w:color="auto"/>
            </w:tcBorders>
            <w:shd w:val="clear" w:color="auto" w:fill="auto"/>
            <w:noWrap/>
            <w:vAlign w:val="center"/>
          </w:tcPr>
          <w:p w:rsidR="005E6C11" w:rsidRPr="0070772A" w:rsidRDefault="005E6C11"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b/>
                <w:sz w:val="18"/>
                <w:szCs w:val="18"/>
                <w:lang w:eastAsia="pt-BR"/>
              </w:rPr>
              <w:t>Tabela 3 - Áreas de Conhecimento mais frequentes no Bloco Conhecimento Administrativo e Organizacional</w:t>
            </w:r>
          </w:p>
        </w:tc>
      </w:tr>
      <w:tr w:rsidR="00A94229" w:rsidRPr="0070772A" w:rsidTr="00051BCD">
        <w:trPr>
          <w:cantSplit/>
          <w:trHeight w:val="1247"/>
        </w:trPr>
        <w:tc>
          <w:tcPr>
            <w:tcW w:w="1316" w:type="pct"/>
            <w:tcBorders>
              <w:top w:val="single" w:sz="12" w:space="0" w:color="auto"/>
            </w:tcBorders>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Subáreas</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FURB</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CATOL</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UNISUL</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UNOESC</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UNOCHAP</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UNIVILLE</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USJ</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UNIVALI</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UNIFEBE</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UDESC</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UNC</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UNESC</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UNIARP</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UNIBAVE</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UNIDAVI</w:t>
            </w:r>
          </w:p>
        </w:tc>
        <w:tc>
          <w:tcPr>
            <w:tcW w:w="188"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UNIPLAC</w:t>
            </w:r>
          </w:p>
        </w:tc>
        <w:tc>
          <w:tcPr>
            <w:tcW w:w="325" w:type="pct"/>
            <w:tcBorders>
              <w:top w:val="single" w:sz="12" w:space="0" w:color="auto"/>
            </w:tcBorders>
            <w:shd w:val="clear" w:color="auto" w:fill="auto"/>
            <w:noWrap/>
            <w:textDirection w:val="btLr"/>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Total</w:t>
            </w:r>
          </w:p>
        </w:tc>
        <w:tc>
          <w:tcPr>
            <w:tcW w:w="349" w:type="pct"/>
            <w:tcBorders>
              <w:top w:val="single" w:sz="12" w:space="0" w:color="auto"/>
            </w:tcBorders>
            <w:shd w:val="clear" w:color="auto" w:fill="auto"/>
            <w:noWrap/>
            <w:textDirection w:val="btLr"/>
            <w:vAlign w:val="center"/>
            <w:hideMark/>
          </w:tcPr>
          <w:p w:rsidR="003B6957" w:rsidRPr="0070772A" w:rsidRDefault="00A94229"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Frequência</w:t>
            </w:r>
            <w:r w:rsidR="00637FFE" w:rsidRPr="0070772A">
              <w:rPr>
                <w:rFonts w:ascii="Palatino Linotype" w:eastAsia="Times New Roman" w:hAnsi="Palatino Linotype"/>
                <w:sz w:val="18"/>
                <w:szCs w:val="18"/>
                <w:lang w:eastAsia="pt-BR"/>
              </w:rPr>
              <w:t xml:space="preserve"> (%)</w:t>
            </w:r>
          </w:p>
        </w:tc>
      </w:tr>
      <w:tr w:rsidR="00C868A2" w:rsidRPr="0070772A" w:rsidTr="00051BCD">
        <w:trPr>
          <w:trHeight w:val="20"/>
        </w:trPr>
        <w:tc>
          <w:tcPr>
            <w:tcW w:w="1316" w:type="pct"/>
            <w:shd w:val="clear" w:color="auto" w:fill="auto"/>
            <w:noWrap/>
            <w:hideMark/>
          </w:tcPr>
          <w:p w:rsidR="00C868A2" w:rsidRPr="0070772A" w:rsidRDefault="00C868A2" w:rsidP="00BE160E">
            <w:pPr>
              <w:pStyle w:val="Textodocorpo20"/>
              <w:tabs>
                <w:tab w:val="left" w:pos="230"/>
              </w:tabs>
              <w:spacing w:after="0" w:line="240" w:lineRule="auto"/>
              <w:jc w:val="both"/>
              <w:rPr>
                <w:sz w:val="18"/>
                <w:szCs w:val="18"/>
                <w:lang w:val="pt-BR" w:eastAsia="pt-BR"/>
              </w:rPr>
            </w:pPr>
            <w:r w:rsidRPr="0070772A">
              <w:rPr>
                <w:rStyle w:val="Textodocorpo285pt"/>
                <w:rFonts w:cs="Times New Roman"/>
                <w:color w:val="auto"/>
                <w:sz w:val="18"/>
                <w:szCs w:val="18"/>
              </w:rPr>
              <w:t>1.1Economia</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25"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20</w:t>
            </w:r>
          </w:p>
        </w:tc>
        <w:tc>
          <w:tcPr>
            <w:tcW w:w="349"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19,6</w:t>
            </w:r>
          </w:p>
        </w:tc>
      </w:tr>
      <w:tr w:rsidR="00C868A2" w:rsidRPr="0070772A" w:rsidTr="00051BCD">
        <w:trPr>
          <w:trHeight w:val="20"/>
        </w:trPr>
        <w:tc>
          <w:tcPr>
            <w:tcW w:w="1316" w:type="pct"/>
            <w:shd w:val="clear" w:color="auto" w:fill="auto"/>
            <w:noWrap/>
            <w:hideMark/>
          </w:tcPr>
          <w:p w:rsidR="00C868A2" w:rsidRPr="0070772A" w:rsidRDefault="00C868A2" w:rsidP="00BE160E">
            <w:pPr>
              <w:pStyle w:val="Textodocorpo20"/>
              <w:tabs>
                <w:tab w:val="left" w:pos="278"/>
              </w:tabs>
              <w:spacing w:after="0" w:line="240" w:lineRule="auto"/>
              <w:jc w:val="left"/>
              <w:rPr>
                <w:sz w:val="18"/>
                <w:szCs w:val="18"/>
                <w:lang w:val="pt-BR" w:eastAsia="pt-BR"/>
              </w:rPr>
            </w:pPr>
            <w:r w:rsidRPr="0070772A">
              <w:rPr>
                <w:rStyle w:val="Textodocorpo285pt"/>
                <w:rFonts w:cs="Times New Roman"/>
                <w:color w:val="auto"/>
                <w:sz w:val="18"/>
                <w:szCs w:val="18"/>
              </w:rPr>
              <w:t>1.2 Métodos quantitativos e estatísticos para as em</w:t>
            </w:r>
            <w:r w:rsidR="001A1F8B" w:rsidRPr="0070772A">
              <w:rPr>
                <w:rStyle w:val="Textodocorpo285pt"/>
                <w:rFonts w:cs="Times New Roman"/>
                <w:color w:val="auto"/>
                <w:sz w:val="18"/>
                <w:szCs w:val="18"/>
              </w:rPr>
              <w:softHyphen/>
            </w:r>
            <w:r w:rsidRPr="0070772A">
              <w:rPr>
                <w:rStyle w:val="Textodocorpo285pt"/>
                <w:rFonts w:cs="Times New Roman"/>
                <w:color w:val="auto"/>
                <w:sz w:val="18"/>
                <w:szCs w:val="18"/>
              </w:rPr>
              <w:t>presas</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25"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33</w:t>
            </w:r>
          </w:p>
        </w:tc>
        <w:tc>
          <w:tcPr>
            <w:tcW w:w="349"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32,4</w:t>
            </w:r>
          </w:p>
        </w:tc>
      </w:tr>
      <w:tr w:rsidR="00C868A2" w:rsidRPr="0070772A" w:rsidTr="00051BCD">
        <w:trPr>
          <w:trHeight w:val="20"/>
        </w:trPr>
        <w:tc>
          <w:tcPr>
            <w:tcW w:w="1316" w:type="pct"/>
            <w:shd w:val="clear" w:color="auto" w:fill="auto"/>
            <w:noWrap/>
            <w:hideMark/>
          </w:tcPr>
          <w:p w:rsidR="00C868A2" w:rsidRPr="0070772A" w:rsidRDefault="00C868A2" w:rsidP="00BE160E">
            <w:pPr>
              <w:pStyle w:val="Textodocorpo20"/>
              <w:tabs>
                <w:tab w:val="left" w:pos="235"/>
              </w:tabs>
              <w:spacing w:after="0" w:line="240" w:lineRule="auto"/>
              <w:jc w:val="left"/>
              <w:rPr>
                <w:sz w:val="18"/>
                <w:szCs w:val="18"/>
                <w:lang w:val="pt-BR" w:eastAsia="pt-BR"/>
              </w:rPr>
            </w:pPr>
            <w:r w:rsidRPr="0070772A">
              <w:rPr>
                <w:rStyle w:val="Textodocorpo285pt"/>
                <w:rFonts w:cs="Times New Roman"/>
                <w:color w:val="auto"/>
                <w:sz w:val="18"/>
                <w:szCs w:val="18"/>
              </w:rPr>
              <w:t>1.3 Políticas empresa</w:t>
            </w:r>
            <w:r w:rsidR="00AA3524" w:rsidRPr="0070772A">
              <w:rPr>
                <w:rStyle w:val="Textodocorpo285pt"/>
                <w:rFonts w:cs="Times New Roman"/>
                <w:color w:val="auto"/>
                <w:sz w:val="18"/>
                <w:szCs w:val="18"/>
              </w:rPr>
              <w:t>riais, de estruturas organizaci</w:t>
            </w:r>
            <w:r w:rsidRPr="0070772A">
              <w:rPr>
                <w:rStyle w:val="Textodocorpo285pt"/>
                <w:rFonts w:cs="Times New Roman"/>
                <w:color w:val="auto"/>
                <w:sz w:val="18"/>
                <w:szCs w:val="18"/>
              </w:rPr>
              <w:t>o</w:t>
            </w:r>
            <w:r w:rsidR="001A1F8B" w:rsidRPr="0070772A">
              <w:rPr>
                <w:rStyle w:val="Textodocorpo285pt"/>
                <w:rFonts w:cs="Times New Roman"/>
                <w:color w:val="auto"/>
                <w:sz w:val="18"/>
                <w:szCs w:val="18"/>
              </w:rPr>
              <w:softHyphen/>
            </w:r>
            <w:r w:rsidRPr="0070772A">
              <w:rPr>
                <w:rStyle w:val="Textodocorpo285pt"/>
                <w:rFonts w:cs="Times New Roman"/>
                <w:color w:val="auto"/>
                <w:sz w:val="18"/>
                <w:szCs w:val="18"/>
              </w:rPr>
              <w:t>nais básicas, e comporta</w:t>
            </w:r>
            <w:r w:rsidR="001A1F8B" w:rsidRPr="0070772A">
              <w:rPr>
                <w:rStyle w:val="Textodocorpo285pt"/>
                <w:rFonts w:cs="Times New Roman"/>
                <w:color w:val="auto"/>
                <w:sz w:val="18"/>
                <w:szCs w:val="18"/>
              </w:rPr>
              <w:softHyphen/>
            </w:r>
            <w:r w:rsidRPr="0070772A">
              <w:rPr>
                <w:rStyle w:val="Textodocorpo285pt"/>
                <w:rFonts w:cs="Times New Roman"/>
                <w:color w:val="auto"/>
                <w:sz w:val="18"/>
                <w:szCs w:val="18"/>
              </w:rPr>
              <w:t>mento organizacional</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4</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25"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36</w:t>
            </w:r>
          </w:p>
        </w:tc>
        <w:tc>
          <w:tcPr>
            <w:tcW w:w="349"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35,3</w:t>
            </w:r>
          </w:p>
        </w:tc>
      </w:tr>
      <w:tr w:rsidR="00C868A2" w:rsidRPr="0070772A" w:rsidTr="00051BCD">
        <w:trPr>
          <w:trHeight w:val="20"/>
        </w:trPr>
        <w:tc>
          <w:tcPr>
            <w:tcW w:w="1316" w:type="pct"/>
            <w:shd w:val="clear" w:color="auto" w:fill="auto"/>
            <w:noWrap/>
            <w:hideMark/>
          </w:tcPr>
          <w:p w:rsidR="00C868A2" w:rsidRPr="0070772A" w:rsidRDefault="00C868A2" w:rsidP="00BE160E">
            <w:pPr>
              <w:pStyle w:val="Textodocorpo20"/>
              <w:tabs>
                <w:tab w:val="left" w:pos="235"/>
              </w:tabs>
              <w:spacing w:after="0" w:line="240" w:lineRule="auto"/>
              <w:jc w:val="left"/>
              <w:rPr>
                <w:sz w:val="18"/>
                <w:szCs w:val="18"/>
                <w:lang w:val="pt-BR" w:eastAsia="pt-BR"/>
              </w:rPr>
            </w:pPr>
            <w:r w:rsidRPr="0070772A">
              <w:rPr>
                <w:rStyle w:val="Textodocorpo285pt"/>
                <w:rFonts w:cs="Times New Roman"/>
                <w:color w:val="auto"/>
                <w:sz w:val="18"/>
                <w:szCs w:val="18"/>
              </w:rPr>
              <w:t>1.4 Funções e práticas administrativas, e gestão de operações</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25"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349"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5,9</w:t>
            </w:r>
          </w:p>
        </w:tc>
      </w:tr>
      <w:tr w:rsidR="00C868A2" w:rsidRPr="0070772A" w:rsidTr="00051BCD">
        <w:trPr>
          <w:trHeight w:val="20"/>
        </w:trPr>
        <w:tc>
          <w:tcPr>
            <w:tcW w:w="1316" w:type="pct"/>
            <w:shd w:val="clear" w:color="auto" w:fill="auto"/>
            <w:noWrap/>
            <w:hideMark/>
          </w:tcPr>
          <w:p w:rsidR="00C868A2" w:rsidRPr="0070772A" w:rsidRDefault="00C868A2" w:rsidP="00BE160E">
            <w:pPr>
              <w:pStyle w:val="Textodocorpo20"/>
              <w:tabs>
                <w:tab w:val="left" w:pos="230"/>
              </w:tabs>
              <w:spacing w:after="0" w:line="240" w:lineRule="auto"/>
              <w:jc w:val="both"/>
              <w:rPr>
                <w:sz w:val="18"/>
                <w:szCs w:val="18"/>
                <w:lang w:val="pt-BR" w:eastAsia="pt-BR"/>
              </w:rPr>
            </w:pPr>
            <w:r w:rsidRPr="0070772A">
              <w:rPr>
                <w:rStyle w:val="Textodocorpo285pt"/>
                <w:rFonts w:cs="Times New Roman"/>
                <w:color w:val="auto"/>
                <w:sz w:val="18"/>
                <w:szCs w:val="18"/>
              </w:rPr>
              <w:t>1.5 Marketing</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25"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4</w:t>
            </w:r>
          </w:p>
        </w:tc>
        <w:tc>
          <w:tcPr>
            <w:tcW w:w="349"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3,9</w:t>
            </w:r>
          </w:p>
        </w:tc>
      </w:tr>
      <w:tr w:rsidR="00C868A2" w:rsidRPr="0070772A" w:rsidTr="00051BCD">
        <w:trPr>
          <w:trHeight w:val="20"/>
        </w:trPr>
        <w:tc>
          <w:tcPr>
            <w:tcW w:w="1316" w:type="pct"/>
            <w:shd w:val="clear" w:color="auto" w:fill="auto"/>
            <w:noWrap/>
            <w:hideMark/>
          </w:tcPr>
          <w:p w:rsidR="00C868A2" w:rsidRPr="0070772A" w:rsidRDefault="00AA3524" w:rsidP="00BE160E">
            <w:pPr>
              <w:ind w:firstLine="0"/>
              <w:jc w:val="left"/>
              <w:rPr>
                <w:rFonts w:ascii="Palatino Linotype" w:hAnsi="Palatino Linotype"/>
                <w:sz w:val="18"/>
                <w:szCs w:val="18"/>
              </w:rPr>
            </w:pPr>
            <w:r w:rsidRPr="0070772A">
              <w:rPr>
                <w:rStyle w:val="Textodocorpo285pt"/>
                <w:rFonts w:cs="Times New Roman"/>
                <w:color w:val="auto"/>
                <w:sz w:val="18"/>
                <w:szCs w:val="18"/>
              </w:rPr>
              <w:t>1.6 Mercados internacio</w:t>
            </w:r>
            <w:r w:rsidR="001A1F8B" w:rsidRPr="0070772A">
              <w:rPr>
                <w:rStyle w:val="Textodocorpo285pt"/>
                <w:rFonts w:cs="Times New Roman"/>
                <w:color w:val="auto"/>
                <w:sz w:val="18"/>
                <w:szCs w:val="18"/>
              </w:rPr>
              <w:softHyphen/>
            </w:r>
            <w:r w:rsidR="00C868A2" w:rsidRPr="0070772A">
              <w:rPr>
                <w:rStyle w:val="Textodocorpo285pt"/>
                <w:rFonts w:cs="Times New Roman"/>
                <w:color w:val="auto"/>
                <w:sz w:val="18"/>
                <w:szCs w:val="18"/>
              </w:rPr>
              <w:t>nais</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188"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25"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49" w:type="pct"/>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2,9</w:t>
            </w:r>
          </w:p>
        </w:tc>
      </w:tr>
      <w:tr w:rsidR="00A94229" w:rsidRPr="0070772A" w:rsidTr="00051BCD">
        <w:trPr>
          <w:trHeight w:val="20"/>
        </w:trPr>
        <w:tc>
          <w:tcPr>
            <w:tcW w:w="1316" w:type="pct"/>
            <w:shd w:val="clear" w:color="auto" w:fill="auto"/>
            <w:noWrap/>
            <w:vAlign w:val="bottom"/>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Total</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8</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5</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5</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9</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5</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7</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7</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5</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8</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188"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7</w:t>
            </w:r>
          </w:p>
        </w:tc>
        <w:tc>
          <w:tcPr>
            <w:tcW w:w="325"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102</w:t>
            </w:r>
          </w:p>
        </w:tc>
        <w:tc>
          <w:tcPr>
            <w:tcW w:w="349" w:type="pct"/>
            <w:shd w:val="clear" w:color="auto" w:fill="auto"/>
            <w:noWrap/>
            <w:vAlign w:val="center"/>
            <w:hideMark/>
          </w:tcPr>
          <w:p w:rsidR="003B6957" w:rsidRPr="0070772A" w:rsidRDefault="003B6957"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100</w:t>
            </w:r>
          </w:p>
        </w:tc>
      </w:tr>
    </w:tbl>
    <w:p w:rsidR="009F1A90" w:rsidRPr="0070772A" w:rsidRDefault="009F1A90" w:rsidP="00BE160E">
      <w:pPr>
        <w:ind w:firstLine="0"/>
        <w:rPr>
          <w:rFonts w:ascii="Palatino Linotype" w:hAnsi="Palatino Linotype"/>
          <w:sz w:val="18"/>
        </w:rPr>
      </w:pPr>
      <w:r w:rsidRPr="0070772A">
        <w:rPr>
          <w:rFonts w:ascii="Palatino Linotype" w:hAnsi="Palatino Linotype"/>
          <w:sz w:val="18"/>
        </w:rPr>
        <w:t>Fonte: dados da pesquisa.</w:t>
      </w:r>
    </w:p>
    <w:p w:rsidR="001D5968" w:rsidRPr="0070772A" w:rsidRDefault="001D5968" w:rsidP="00BE160E">
      <w:pPr>
        <w:rPr>
          <w:rFonts w:ascii="Palatino Linotype" w:hAnsi="Palatino Linotype"/>
          <w:sz w:val="22"/>
        </w:rPr>
      </w:pPr>
    </w:p>
    <w:p w:rsidR="00C33112" w:rsidRPr="0070772A" w:rsidRDefault="005F6844" w:rsidP="00BE160E">
      <w:pPr>
        <w:rPr>
          <w:rFonts w:ascii="Palatino Linotype" w:hAnsi="Palatino Linotype"/>
          <w:sz w:val="22"/>
        </w:rPr>
      </w:pPr>
      <w:r w:rsidRPr="0070772A">
        <w:rPr>
          <w:rFonts w:ascii="Palatino Linotype" w:hAnsi="Palatino Linotype"/>
          <w:sz w:val="22"/>
        </w:rPr>
        <w:t>A</w:t>
      </w:r>
      <w:r w:rsidR="00C33112" w:rsidRPr="0070772A">
        <w:rPr>
          <w:rFonts w:ascii="Palatino Linotype" w:hAnsi="Palatino Linotype"/>
          <w:sz w:val="22"/>
        </w:rPr>
        <w:t xml:space="preserve"> USJ, FURB e UNIBAVE</w:t>
      </w:r>
      <w:r w:rsidRPr="0070772A">
        <w:rPr>
          <w:rFonts w:ascii="Palatino Linotype" w:hAnsi="Palatino Linotype"/>
          <w:sz w:val="22"/>
        </w:rPr>
        <w:t xml:space="preserve"> </w:t>
      </w:r>
      <w:r w:rsidR="002545D0" w:rsidRPr="0070772A">
        <w:rPr>
          <w:rFonts w:ascii="Palatino Linotype" w:hAnsi="Palatino Linotype"/>
          <w:sz w:val="22"/>
        </w:rPr>
        <w:t xml:space="preserve">podem ser destacadas positivamente por </w:t>
      </w:r>
      <w:r w:rsidRPr="0070772A">
        <w:rPr>
          <w:rFonts w:ascii="Palatino Linotype" w:hAnsi="Palatino Linotype"/>
          <w:sz w:val="22"/>
        </w:rPr>
        <w:t>contempla</w:t>
      </w:r>
      <w:r w:rsidR="002545D0" w:rsidRPr="0070772A">
        <w:rPr>
          <w:rFonts w:ascii="Palatino Linotype" w:hAnsi="Palatino Linotype"/>
          <w:sz w:val="22"/>
        </w:rPr>
        <w:t>rem</w:t>
      </w:r>
      <w:r w:rsidRPr="0070772A">
        <w:rPr>
          <w:rFonts w:ascii="Palatino Linotype" w:hAnsi="Palatino Linotype"/>
          <w:sz w:val="22"/>
        </w:rPr>
        <w:t xml:space="preserve"> mai</w:t>
      </w:r>
      <w:r w:rsidR="002545D0" w:rsidRPr="0070772A">
        <w:rPr>
          <w:rFonts w:ascii="Palatino Linotype" w:hAnsi="Palatino Linotype"/>
          <w:sz w:val="22"/>
        </w:rPr>
        <w:t xml:space="preserve">or número de </w:t>
      </w:r>
      <w:r w:rsidR="007C1B22" w:rsidRPr="0070772A">
        <w:rPr>
          <w:rFonts w:ascii="Palatino Linotype" w:hAnsi="Palatino Linotype"/>
          <w:sz w:val="22"/>
        </w:rPr>
        <w:t>disciplinas ofertadas.</w:t>
      </w:r>
      <w:r w:rsidR="00637FFE" w:rsidRPr="0070772A">
        <w:rPr>
          <w:rFonts w:ascii="Palatino Linotype" w:hAnsi="Palatino Linotype"/>
          <w:sz w:val="22"/>
        </w:rPr>
        <w:t xml:space="preserve"> </w:t>
      </w:r>
      <w:r w:rsidR="00C33112" w:rsidRPr="0070772A">
        <w:rPr>
          <w:rFonts w:ascii="Palatino Linotype" w:hAnsi="Palatino Linotype"/>
          <w:sz w:val="22"/>
        </w:rPr>
        <w:t xml:space="preserve">É interessante notar a pouca importância </w:t>
      </w:r>
      <w:r w:rsidR="009F1A90" w:rsidRPr="0070772A">
        <w:rPr>
          <w:rFonts w:ascii="Palatino Linotype" w:hAnsi="Palatino Linotype"/>
          <w:sz w:val="22"/>
        </w:rPr>
        <w:t>dada a</w:t>
      </w:r>
      <w:r w:rsidR="00C33112" w:rsidRPr="0070772A">
        <w:rPr>
          <w:rFonts w:ascii="Palatino Linotype" w:hAnsi="Palatino Linotype"/>
          <w:sz w:val="22"/>
        </w:rPr>
        <w:t xml:space="preserve"> </w:t>
      </w:r>
      <w:r w:rsidR="009F1A90" w:rsidRPr="0070772A">
        <w:rPr>
          <w:rFonts w:ascii="Palatino Linotype" w:hAnsi="Palatino Linotype"/>
          <w:sz w:val="22"/>
        </w:rPr>
        <w:t xml:space="preserve">disciplinas voltadas </w:t>
      </w:r>
      <w:r w:rsidR="00C33112" w:rsidRPr="0070772A">
        <w:rPr>
          <w:rFonts w:ascii="Palatino Linotype" w:hAnsi="Palatino Linotype"/>
          <w:sz w:val="22"/>
        </w:rPr>
        <w:t>para quem empreende, como o Marketing, ou não considerar a Globalização e os Mercados Internacionais como assuntos vitais para o acadêmico de Contabilidade.</w:t>
      </w:r>
    </w:p>
    <w:p w:rsidR="00F813B0" w:rsidRPr="0070772A" w:rsidRDefault="00F813B0" w:rsidP="00BE160E">
      <w:pPr>
        <w:rPr>
          <w:rFonts w:ascii="Palatino Linotype" w:hAnsi="Palatino Linotype"/>
          <w:sz w:val="22"/>
        </w:rPr>
      </w:pPr>
      <w:r w:rsidRPr="0070772A">
        <w:rPr>
          <w:rFonts w:ascii="Palatino Linotype" w:hAnsi="Palatino Linotype"/>
          <w:sz w:val="22"/>
        </w:rPr>
        <w:lastRenderedPageBreak/>
        <w:t xml:space="preserve">O presente estudo vai </w:t>
      </w:r>
      <w:r w:rsidR="001C2439" w:rsidRPr="0070772A">
        <w:rPr>
          <w:rFonts w:ascii="Palatino Linotype" w:hAnsi="Palatino Linotype"/>
          <w:sz w:val="22"/>
        </w:rPr>
        <w:t>ao</w:t>
      </w:r>
      <w:r w:rsidRPr="0070772A">
        <w:rPr>
          <w:rFonts w:ascii="Palatino Linotype" w:hAnsi="Palatino Linotype"/>
          <w:sz w:val="22"/>
        </w:rPr>
        <w:t xml:space="preserve"> encontro </w:t>
      </w:r>
      <w:r w:rsidR="009F1A90" w:rsidRPr="0070772A">
        <w:rPr>
          <w:rFonts w:ascii="Palatino Linotype" w:hAnsi="Palatino Linotype"/>
          <w:sz w:val="22"/>
        </w:rPr>
        <w:t>d</w:t>
      </w:r>
      <w:r w:rsidRPr="0070772A">
        <w:rPr>
          <w:rFonts w:ascii="Palatino Linotype" w:hAnsi="Palatino Linotype"/>
          <w:sz w:val="22"/>
        </w:rPr>
        <w:t>o</w:t>
      </w:r>
      <w:r w:rsidR="009F1A90" w:rsidRPr="0070772A">
        <w:rPr>
          <w:rFonts w:ascii="Palatino Linotype" w:hAnsi="Palatino Linotype"/>
          <w:sz w:val="22"/>
        </w:rPr>
        <w:t xml:space="preserve"> evidenciado por </w:t>
      </w:r>
      <w:proofErr w:type="spellStart"/>
      <w:r w:rsidR="00113F28" w:rsidRPr="0070772A">
        <w:rPr>
          <w:rFonts w:ascii="Palatino Linotype" w:hAnsi="Palatino Linotype"/>
          <w:sz w:val="22"/>
        </w:rPr>
        <w:t>Czesnat</w:t>
      </w:r>
      <w:proofErr w:type="spellEnd"/>
      <w:r w:rsidR="00113F28" w:rsidRPr="0070772A">
        <w:rPr>
          <w:rFonts w:ascii="Palatino Linotype" w:hAnsi="Palatino Linotype"/>
          <w:sz w:val="22"/>
        </w:rPr>
        <w:t>, Cunha e Domingues (2009)</w:t>
      </w:r>
      <w:r w:rsidR="005C0506" w:rsidRPr="0070772A">
        <w:rPr>
          <w:rFonts w:ascii="Palatino Linotype" w:hAnsi="Palatino Linotype"/>
          <w:sz w:val="22"/>
        </w:rPr>
        <w:t xml:space="preserve"> </w:t>
      </w:r>
      <w:r w:rsidR="000264E6" w:rsidRPr="0070772A">
        <w:rPr>
          <w:rFonts w:ascii="Palatino Linotype" w:hAnsi="Palatino Linotype"/>
          <w:sz w:val="22"/>
        </w:rPr>
        <w:t xml:space="preserve">e </w:t>
      </w:r>
      <w:proofErr w:type="spellStart"/>
      <w:r w:rsidR="000264E6" w:rsidRPr="0070772A">
        <w:rPr>
          <w:rFonts w:ascii="Palatino Linotype" w:hAnsi="Palatino Linotype"/>
          <w:sz w:val="22"/>
        </w:rPr>
        <w:t>Segantini</w:t>
      </w:r>
      <w:proofErr w:type="spellEnd"/>
      <w:r w:rsidR="00AA3524" w:rsidRPr="0070772A">
        <w:rPr>
          <w:rFonts w:ascii="Palatino Linotype" w:hAnsi="Palatino Linotype"/>
          <w:sz w:val="22"/>
        </w:rPr>
        <w:t xml:space="preserve"> </w:t>
      </w:r>
      <w:r w:rsidR="009117C8" w:rsidRPr="0070772A">
        <w:rPr>
          <w:rFonts w:ascii="Palatino Linotype" w:hAnsi="Palatino Linotype"/>
          <w:i/>
          <w:sz w:val="22"/>
        </w:rPr>
        <w:t>et al.</w:t>
      </w:r>
      <w:r w:rsidR="00AA3524" w:rsidRPr="0070772A">
        <w:rPr>
          <w:rFonts w:ascii="Palatino Linotype" w:hAnsi="Palatino Linotype"/>
          <w:sz w:val="22"/>
        </w:rPr>
        <w:t xml:space="preserve"> (2013</w:t>
      </w:r>
      <w:r w:rsidR="000264E6" w:rsidRPr="0070772A">
        <w:rPr>
          <w:rFonts w:ascii="Palatino Linotype" w:hAnsi="Palatino Linotype"/>
          <w:sz w:val="22"/>
        </w:rPr>
        <w:t>)</w:t>
      </w:r>
      <w:r w:rsidR="00AA3524" w:rsidRPr="0070772A">
        <w:rPr>
          <w:rFonts w:ascii="Palatino Linotype" w:hAnsi="Palatino Linotype"/>
          <w:sz w:val="22"/>
        </w:rPr>
        <w:t xml:space="preserve">, </w:t>
      </w:r>
      <w:r w:rsidR="00CD4B19" w:rsidRPr="0070772A">
        <w:rPr>
          <w:rFonts w:ascii="Palatino Linotype" w:hAnsi="Palatino Linotype"/>
          <w:sz w:val="22"/>
        </w:rPr>
        <w:t xml:space="preserve">de </w:t>
      </w:r>
      <w:r w:rsidR="00AA3524" w:rsidRPr="0070772A">
        <w:rPr>
          <w:rFonts w:ascii="Palatino Linotype" w:hAnsi="Palatino Linotype"/>
          <w:sz w:val="22"/>
        </w:rPr>
        <w:t xml:space="preserve">que </w:t>
      </w:r>
      <w:r w:rsidR="000264E6" w:rsidRPr="0070772A">
        <w:rPr>
          <w:rFonts w:ascii="Palatino Linotype" w:hAnsi="Palatino Linotype"/>
          <w:sz w:val="22"/>
        </w:rPr>
        <w:t>m</w:t>
      </w:r>
      <w:r w:rsidR="00AA3524" w:rsidRPr="0070772A">
        <w:rPr>
          <w:rFonts w:ascii="Palatino Linotype" w:hAnsi="Palatino Linotype"/>
          <w:sz w:val="22"/>
        </w:rPr>
        <w:t>étodos quantitativos e estatísticos para as empresas</w:t>
      </w:r>
      <w:r w:rsidR="000264E6" w:rsidRPr="0070772A">
        <w:rPr>
          <w:rFonts w:ascii="Palatino Linotype" w:hAnsi="Palatino Linotype"/>
          <w:sz w:val="22"/>
        </w:rPr>
        <w:t xml:space="preserve"> são as que mais estão presentes </w:t>
      </w:r>
      <w:r w:rsidR="00CD4B19" w:rsidRPr="0070772A">
        <w:rPr>
          <w:rFonts w:ascii="Palatino Linotype" w:hAnsi="Palatino Linotype"/>
          <w:sz w:val="22"/>
        </w:rPr>
        <w:t>n</w:t>
      </w:r>
      <w:r w:rsidR="000264E6" w:rsidRPr="0070772A">
        <w:rPr>
          <w:rFonts w:ascii="Palatino Linotype" w:hAnsi="Palatino Linotype"/>
          <w:sz w:val="22"/>
        </w:rPr>
        <w:t>as instituições</w:t>
      </w:r>
      <w:r w:rsidR="00CD4B19" w:rsidRPr="0070772A">
        <w:rPr>
          <w:rFonts w:ascii="Palatino Linotype" w:hAnsi="Palatino Linotype"/>
          <w:sz w:val="22"/>
        </w:rPr>
        <w:t>. N</w:t>
      </w:r>
      <w:r w:rsidR="000264E6" w:rsidRPr="0070772A">
        <w:rPr>
          <w:rFonts w:ascii="Palatino Linotype" w:hAnsi="Palatino Linotype"/>
          <w:sz w:val="22"/>
        </w:rPr>
        <w:t>o entanto</w:t>
      </w:r>
      <w:r w:rsidR="00CD4B19" w:rsidRPr="0070772A">
        <w:rPr>
          <w:rFonts w:ascii="Palatino Linotype" w:hAnsi="Palatino Linotype"/>
          <w:sz w:val="22"/>
        </w:rPr>
        <w:t>,</w:t>
      </w:r>
      <w:r w:rsidR="000264E6" w:rsidRPr="0070772A">
        <w:rPr>
          <w:rFonts w:ascii="Palatino Linotype" w:hAnsi="Palatino Linotype"/>
          <w:sz w:val="22"/>
        </w:rPr>
        <w:t xml:space="preserve"> como evidencia o presente estudo</w:t>
      </w:r>
      <w:r w:rsidR="00CD4B19" w:rsidRPr="0070772A">
        <w:rPr>
          <w:rFonts w:ascii="Palatino Linotype" w:hAnsi="Palatino Linotype"/>
          <w:sz w:val="22"/>
        </w:rPr>
        <w:t>,</w:t>
      </w:r>
      <w:r w:rsidR="000264E6" w:rsidRPr="0070772A">
        <w:rPr>
          <w:rFonts w:ascii="Palatino Linotype" w:hAnsi="Palatino Linotype"/>
          <w:sz w:val="22"/>
        </w:rPr>
        <w:t xml:space="preserve"> políticas empresariais, de estruturas organizacionais básicas e comportamento estão </w:t>
      </w:r>
      <w:r w:rsidR="005F6844" w:rsidRPr="0070772A">
        <w:rPr>
          <w:rFonts w:ascii="Palatino Linotype" w:hAnsi="Palatino Linotype"/>
          <w:sz w:val="22"/>
        </w:rPr>
        <w:t>com maior</w:t>
      </w:r>
      <w:r w:rsidR="000264E6" w:rsidRPr="0070772A">
        <w:rPr>
          <w:rFonts w:ascii="Palatino Linotype" w:hAnsi="Palatino Linotype"/>
          <w:sz w:val="22"/>
        </w:rPr>
        <w:t xml:space="preserve"> aplicação nas instituições da ACAFE.</w:t>
      </w:r>
    </w:p>
    <w:p w:rsidR="00CD4B19" w:rsidRPr="0070772A" w:rsidRDefault="00C33112" w:rsidP="00BE160E">
      <w:pPr>
        <w:rPr>
          <w:rFonts w:ascii="Palatino Linotype" w:hAnsi="Palatino Linotype"/>
          <w:sz w:val="22"/>
        </w:rPr>
      </w:pPr>
      <w:r w:rsidRPr="0070772A">
        <w:rPr>
          <w:rFonts w:ascii="Palatino Linotype" w:hAnsi="Palatino Linotype"/>
          <w:sz w:val="22"/>
        </w:rPr>
        <w:t xml:space="preserve">Na </w:t>
      </w:r>
      <w:r w:rsidR="00CD4B19" w:rsidRPr="0070772A">
        <w:rPr>
          <w:rFonts w:ascii="Palatino Linotype" w:hAnsi="Palatino Linotype"/>
          <w:sz w:val="22"/>
        </w:rPr>
        <w:t>T</w:t>
      </w:r>
      <w:r w:rsidR="00A94229" w:rsidRPr="0070772A">
        <w:rPr>
          <w:rFonts w:ascii="Palatino Linotype" w:hAnsi="Palatino Linotype"/>
          <w:sz w:val="22"/>
        </w:rPr>
        <w:t>abela 4</w:t>
      </w:r>
      <w:r w:rsidRPr="0070772A">
        <w:rPr>
          <w:rFonts w:ascii="Palatino Linotype" w:hAnsi="Palatino Linotype"/>
          <w:sz w:val="22"/>
        </w:rPr>
        <w:t xml:space="preserve"> fica nítido que a maioria das </w:t>
      </w:r>
      <w:r w:rsidR="00CD4B19" w:rsidRPr="0070772A">
        <w:rPr>
          <w:rFonts w:ascii="Palatino Linotype" w:hAnsi="Palatino Linotype"/>
          <w:sz w:val="22"/>
        </w:rPr>
        <w:t>i</w:t>
      </w:r>
      <w:r w:rsidRPr="0070772A">
        <w:rPr>
          <w:rFonts w:ascii="Palatino Linotype" w:hAnsi="Palatino Linotype"/>
          <w:sz w:val="22"/>
        </w:rPr>
        <w:t>nstituições não trabalha a Tecnologia de Informações.</w:t>
      </w:r>
      <w:r w:rsidR="003F0D06" w:rsidRPr="0070772A">
        <w:rPr>
          <w:rFonts w:ascii="Palatino Linotype" w:hAnsi="Palatino Linotype"/>
          <w:sz w:val="22"/>
        </w:rPr>
        <w:t xml:space="preserve"> </w:t>
      </w:r>
    </w:p>
    <w:p w:rsidR="003F0D06" w:rsidRPr="0070772A" w:rsidRDefault="003F0D06" w:rsidP="00BE160E">
      <w:pPr>
        <w:rPr>
          <w:rFonts w:ascii="Palatino Linotype" w:hAnsi="Palatino Linotype"/>
          <w:sz w:val="22"/>
        </w:rPr>
      </w:pPr>
    </w:p>
    <w:tbl>
      <w:tblPr>
        <w:tblW w:w="4955" w:type="pct"/>
        <w:tblInd w:w="70" w:type="dxa"/>
        <w:tblBorders>
          <w:top w:val="single" w:sz="12" w:space="0" w:color="auto"/>
          <w:bottom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55"/>
        <w:gridCol w:w="402"/>
        <w:gridCol w:w="402"/>
        <w:gridCol w:w="402"/>
        <w:gridCol w:w="402"/>
        <w:gridCol w:w="403"/>
        <w:gridCol w:w="403"/>
        <w:gridCol w:w="403"/>
        <w:gridCol w:w="403"/>
        <w:gridCol w:w="403"/>
        <w:gridCol w:w="403"/>
        <w:gridCol w:w="403"/>
        <w:gridCol w:w="403"/>
        <w:gridCol w:w="403"/>
        <w:gridCol w:w="403"/>
        <w:gridCol w:w="403"/>
        <w:gridCol w:w="403"/>
        <w:gridCol w:w="390"/>
      </w:tblGrid>
      <w:tr w:rsidR="0070772A" w:rsidRPr="0070772A" w:rsidTr="00720C20">
        <w:trPr>
          <w:cantSplit/>
          <w:trHeight w:val="20"/>
        </w:trPr>
        <w:tc>
          <w:tcPr>
            <w:tcW w:w="5000" w:type="pct"/>
            <w:gridSpan w:val="18"/>
            <w:tcBorders>
              <w:top w:val="nil"/>
              <w:bottom w:val="single" w:sz="12" w:space="0" w:color="auto"/>
            </w:tcBorders>
            <w:shd w:val="clear" w:color="auto" w:fill="auto"/>
            <w:noWrap/>
            <w:vAlign w:val="bottom"/>
          </w:tcPr>
          <w:p w:rsidR="00720C20" w:rsidRPr="0070772A" w:rsidRDefault="00720C20"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b/>
                <w:sz w:val="18"/>
                <w:szCs w:val="18"/>
                <w:lang w:eastAsia="pt-BR"/>
              </w:rPr>
              <w:t>Tabela 4 – Áreas de Conhecimento mais frequentes no Bloco Tecnologia de Informação</w:t>
            </w:r>
          </w:p>
        </w:tc>
      </w:tr>
      <w:tr w:rsidR="000C0E54" w:rsidRPr="0070772A" w:rsidTr="00720C20">
        <w:trPr>
          <w:cantSplit/>
          <w:trHeight w:val="1247"/>
        </w:trPr>
        <w:tc>
          <w:tcPr>
            <w:tcW w:w="1199" w:type="pct"/>
            <w:tcBorders>
              <w:top w:val="single" w:sz="12" w:space="0" w:color="auto"/>
            </w:tcBorders>
            <w:shd w:val="clear" w:color="auto" w:fill="auto"/>
            <w:noWrap/>
            <w:textDirection w:val="btLr"/>
            <w:vAlign w:val="bottom"/>
            <w:hideMark/>
          </w:tcPr>
          <w:p w:rsidR="00637FFE" w:rsidRPr="0070772A" w:rsidRDefault="00637FFE" w:rsidP="00BE160E">
            <w:pPr>
              <w:ind w:firstLine="0"/>
              <w:jc w:val="left"/>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 </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FURB</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CATOL</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UNISUL</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UNOESC</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UNOCHAP</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UNIVILLE</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USJ</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UNIVALI</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UNIFEBE</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UDESC</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UNC</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UNESC</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UNIARP</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UNIBAVE</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UNIDAVI</w:t>
            </w:r>
          </w:p>
        </w:tc>
        <w:tc>
          <w:tcPr>
            <w:tcW w:w="224"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UNIPLAC</w:t>
            </w:r>
          </w:p>
        </w:tc>
        <w:tc>
          <w:tcPr>
            <w:tcW w:w="216" w:type="pct"/>
            <w:tcBorders>
              <w:top w:val="single" w:sz="12" w:space="0" w:color="auto"/>
            </w:tcBorders>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Total</w:t>
            </w:r>
          </w:p>
        </w:tc>
      </w:tr>
      <w:tr w:rsidR="000C0E54" w:rsidRPr="0070772A" w:rsidTr="00720C20">
        <w:trPr>
          <w:trHeight w:val="57"/>
        </w:trPr>
        <w:tc>
          <w:tcPr>
            <w:tcW w:w="1199" w:type="pct"/>
            <w:shd w:val="clear" w:color="auto" w:fill="auto"/>
            <w:noWrap/>
            <w:vAlign w:val="bottom"/>
            <w:hideMark/>
          </w:tcPr>
          <w:p w:rsidR="00637FFE" w:rsidRPr="0070772A" w:rsidRDefault="00637FFE" w:rsidP="00BE160E">
            <w:pPr>
              <w:ind w:firstLine="0"/>
              <w:jc w:val="left"/>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 xml:space="preserve">2.1 </w:t>
            </w:r>
            <w:r w:rsidR="00C868A2" w:rsidRPr="0070772A">
              <w:rPr>
                <w:rFonts w:ascii="Palatino Linotype" w:eastAsia="Times New Roman" w:hAnsi="Palatino Linotype"/>
                <w:sz w:val="18"/>
                <w:szCs w:val="18"/>
                <w:lang w:eastAsia="pt-BR"/>
              </w:rPr>
              <w:t>Tecnologia de informação</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16"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r>
      <w:tr w:rsidR="000C0E54" w:rsidRPr="0070772A" w:rsidTr="00720C20">
        <w:trPr>
          <w:trHeight w:val="57"/>
        </w:trPr>
        <w:tc>
          <w:tcPr>
            <w:tcW w:w="1199" w:type="pct"/>
            <w:shd w:val="clear" w:color="auto" w:fill="auto"/>
            <w:noWrap/>
            <w:vAlign w:val="bottom"/>
            <w:hideMark/>
          </w:tcPr>
          <w:p w:rsidR="00637FFE" w:rsidRPr="0070772A" w:rsidRDefault="00637FFE" w:rsidP="00BE160E">
            <w:pPr>
              <w:ind w:firstLine="0"/>
              <w:jc w:val="left"/>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Total</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24"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216" w:type="pct"/>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r>
    </w:tbl>
    <w:p w:rsidR="00CD4B19" w:rsidRPr="0070772A" w:rsidRDefault="00CD4B19" w:rsidP="00BE160E">
      <w:pPr>
        <w:ind w:firstLine="0"/>
        <w:rPr>
          <w:rFonts w:ascii="Palatino Linotype" w:hAnsi="Palatino Linotype"/>
          <w:sz w:val="18"/>
        </w:rPr>
      </w:pPr>
      <w:r w:rsidRPr="0070772A">
        <w:rPr>
          <w:rFonts w:ascii="Palatino Linotype" w:hAnsi="Palatino Linotype"/>
          <w:sz w:val="18"/>
        </w:rPr>
        <w:t>Fonte: dados da pesquisa.</w:t>
      </w:r>
    </w:p>
    <w:p w:rsidR="001D5968" w:rsidRPr="0070772A" w:rsidRDefault="001D5968" w:rsidP="00BE160E">
      <w:pPr>
        <w:rPr>
          <w:rFonts w:ascii="Palatino Linotype" w:hAnsi="Palatino Linotype"/>
          <w:sz w:val="22"/>
        </w:rPr>
      </w:pPr>
    </w:p>
    <w:p w:rsidR="000264E6" w:rsidRPr="0070772A" w:rsidRDefault="00637FFE" w:rsidP="00BE160E">
      <w:pPr>
        <w:rPr>
          <w:rFonts w:ascii="Palatino Linotype" w:hAnsi="Palatino Linotype"/>
          <w:sz w:val="22"/>
        </w:rPr>
      </w:pPr>
      <w:r w:rsidRPr="0070772A">
        <w:rPr>
          <w:rFonts w:ascii="Palatino Linotype" w:hAnsi="Palatino Linotype"/>
          <w:sz w:val="22"/>
        </w:rPr>
        <w:t>Pode-</w:t>
      </w:r>
      <w:r w:rsidR="00C33112" w:rsidRPr="0070772A">
        <w:rPr>
          <w:rFonts w:ascii="Palatino Linotype" w:hAnsi="Palatino Linotype"/>
          <w:sz w:val="22"/>
        </w:rPr>
        <w:t xml:space="preserve">se especular que </w:t>
      </w:r>
      <w:r w:rsidR="00CD4B19" w:rsidRPr="0070772A">
        <w:rPr>
          <w:rFonts w:ascii="Palatino Linotype" w:hAnsi="Palatino Linotype"/>
          <w:sz w:val="22"/>
        </w:rPr>
        <w:t xml:space="preserve">esta área de conhecimento </w:t>
      </w:r>
      <w:r w:rsidR="00C33112" w:rsidRPr="0070772A">
        <w:rPr>
          <w:rFonts w:ascii="Palatino Linotype" w:hAnsi="Palatino Linotype"/>
          <w:sz w:val="22"/>
        </w:rPr>
        <w:t>seja tratad</w:t>
      </w:r>
      <w:r w:rsidR="00CD4B19" w:rsidRPr="0070772A">
        <w:rPr>
          <w:rFonts w:ascii="Palatino Linotype" w:hAnsi="Palatino Linotype"/>
          <w:sz w:val="22"/>
        </w:rPr>
        <w:t>a</w:t>
      </w:r>
      <w:r w:rsidR="00C33112" w:rsidRPr="0070772A">
        <w:rPr>
          <w:rFonts w:ascii="Palatino Linotype" w:hAnsi="Palatino Linotype"/>
          <w:sz w:val="22"/>
        </w:rPr>
        <w:t xml:space="preserve"> em disciplinas de Contabilidade e de Custos que usem esta ferramenta. Ou seja, em vez de ser um tema em si, considera-se mais como apoio a outros campos do conhecimento.</w:t>
      </w:r>
      <w:r w:rsidR="000264E6" w:rsidRPr="0070772A">
        <w:rPr>
          <w:rFonts w:ascii="Palatino Linotype" w:hAnsi="Palatino Linotype"/>
          <w:sz w:val="22"/>
        </w:rPr>
        <w:t xml:space="preserve"> Os resultados são bem próximos </w:t>
      </w:r>
      <w:r w:rsidR="00CD4B19" w:rsidRPr="0070772A">
        <w:rPr>
          <w:rFonts w:ascii="Palatino Linotype" w:hAnsi="Palatino Linotype"/>
          <w:sz w:val="22"/>
        </w:rPr>
        <w:t>(</w:t>
      </w:r>
      <w:r w:rsidR="000264E6" w:rsidRPr="0070772A">
        <w:rPr>
          <w:rFonts w:ascii="Palatino Linotype" w:hAnsi="Palatino Linotype"/>
          <w:sz w:val="22"/>
        </w:rPr>
        <w:t>1,7%</w:t>
      </w:r>
      <w:r w:rsidR="00CD4B19" w:rsidRPr="0070772A">
        <w:rPr>
          <w:rFonts w:ascii="Palatino Linotype" w:hAnsi="Palatino Linotype"/>
          <w:sz w:val="22"/>
        </w:rPr>
        <w:t>)</w:t>
      </w:r>
      <w:r w:rsidR="000264E6" w:rsidRPr="0070772A">
        <w:rPr>
          <w:rFonts w:ascii="Palatino Linotype" w:hAnsi="Palatino Linotype"/>
          <w:sz w:val="22"/>
        </w:rPr>
        <w:t xml:space="preserve"> </w:t>
      </w:r>
      <w:r w:rsidR="00CD4B19" w:rsidRPr="0070772A">
        <w:rPr>
          <w:rFonts w:ascii="Palatino Linotype" w:hAnsi="Palatino Linotype"/>
          <w:sz w:val="22"/>
        </w:rPr>
        <w:t xml:space="preserve">aos </w:t>
      </w:r>
      <w:r w:rsidR="000264E6" w:rsidRPr="0070772A">
        <w:rPr>
          <w:rFonts w:ascii="Palatino Linotype" w:hAnsi="Palatino Linotype"/>
          <w:sz w:val="22"/>
        </w:rPr>
        <w:t xml:space="preserve">obtidos por Segantini </w:t>
      </w:r>
      <w:r w:rsidR="009117C8" w:rsidRPr="0070772A">
        <w:rPr>
          <w:rFonts w:ascii="Palatino Linotype" w:hAnsi="Palatino Linotype"/>
          <w:i/>
          <w:sz w:val="22"/>
        </w:rPr>
        <w:t>et al.</w:t>
      </w:r>
      <w:r w:rsidR="000264E6" w:rsidRPr="0070772A">
        <w:rPr>
          <w:rFonts w:ascii="Palatino Linotype" w:hAnsi="Palatino Linotype"/>
          <w:sz w:val="22"/>
        </w:rPr>
        <w:t xml:space="preserve"> (2013)</w:t>
      </w:r>
      <w:r w:rsidR="00CD4B19" w:rsidRPr="0070772A">
        <w:rPr>
          <w:rFonts w:ascii="Palatino Linotype" w:hAnsi="Palatino Linotype"/>
          <w:sz w:val="22"/>
        </w:rPr>
        <w:t>,</w:t>
      </w:r>
      <w:r w:rsidR="000264E6" w:rsidRPr="0070772A">
        <w:rPr>
          <w:rFonts w:ascii="Palatino Linotype" w:hAnsi="Palatino Linotype"/>
          <w:sz w:val="22"/>
        </w:rPr>
        <w:t xml:space="preserve"> mas com uma distância visível ao achado de </w:t>
      </w:r>
      <w:proofErr w:type="spellStart"/>
      <w:r w:rsidR="00113F28" w:rsidRPr="0070772A">
        <w:rPr>
          <w:rFonts w:ascii="Palatino Linotype" w:hAnsi="Palatino Linotype"/>
          <w:sz w:val="22"/>
        </w:rPr>
        <w:t>Czesnat</w:t>
      </w:r>
      <w:proofErr w:type="spellEnd"/>
      <w:r w:rsidR="00113F28" w:rsidRPr="0070772A">
        <w:rPr>
          <w:rFonts w:ascii="Palatino Linotype" w:hAnsi="Palatino Linotype"/>
          <w:sz w:val="22"/>
        </w:rPr>
        <w:t>, Cunha e Domingues (2009)</w:t>
      </w:r>
      <w:r w:rsidR="00CD4B19" w:rsidRPr="0070772A">
        <w:rPr>
          <w:rFonts w:ascii="Palatino Linotype" w:hAnsi="Palatino Linotype"/>
          <w:sz w:val="22"/>
        </w:rPr>
        <w:t>, que</w:t>
      </w:r>
      <w:r w:rsidR="000264E6" w:rsidRPr="0070772A">
        <w:rPr>
          <w:rFonts w:ascii="Palatino Linotype" w:hAnsi="Palatino Linotype"/>
          <w:sz w:val="22"/>
        </w:rPr>
        <w:t xml:space="preserve"> </w:t>
      </w:r>
      <w:r w:rsidR="00876D4B" w:rsidRPr="0070772A">
        <w:rPr>
          <w:rFonts w:ascii="Palatino Linotype" w:hAnsi="Palatino Linotype"/>
          <w:sz w:val="22"/>
        </w:rPr>
        <w:t>chegaram a 4,65%, o</w:t>
      </w:r>
      <w:r w:rsidR="000264E6" w:rsidRPr="0070772A">
        <w:rPr>
          <w:rFonts w:ascii="Palatino Linotype" w:hAnsi="Palatino Linotype"/>
          <w:sz w:val="22"/>
        </w:rPr>
        <w:t xml:space="preserve"> que pode indicar que o tema é tratado em outras disciplinas</w:t>
      </w:r>
      <w:r w:rsidR="00876D4B" w:rsidRPr="0070772A">
        <w:rPr>
          <w:rFonts w:ascii="Palatino Linotype" w:hAnsi="Palatino Linotype"/>
          <w:sz w:val="22"/>
        </w:rPr>
        <w:t xml:space="preserve"> pelas atuais instituições da ACAFE</w:t>
      </w:r>
      <w:r w:rsidR="00CD4B19" w:rsidRPr="0070772A">
        <w:rPr>
          <w:rFonts w:ascii="Palatino Linotype" w:hAnsi="Palatino Linotype"/>
          <w:sz w:val="22"/>
        </w:rPr>
        <w:t>.</w:t>
      </w:r>
    </w:p>
    <w:p w:rsidR="00637FFE" w:rsidRPr="0070772A" w:rsidRDefault="00637FFE" w:rsidP="00BE160E">
      <w:pPr>
        <w:rPr>
          <w:rFonts w:ascii="Palatino Linotype" w:hAnsi="Palatino Linotype"/>
          <w:sz w:val="22"/>
        </w:rPr>
      </w:pPr>
      <w:r w:rsidRPr="0070772A">
        <w:rPr>
          <w:rFonts w:ascii="Palatino Linotype" w:hAnsi="Palatino Linotype"/>
          <w:sz w:val="22"/>
        </w:rPr>
        <w:t xml:space="preserve">Já na </w:t>
      </w:r>
      <w:r w:rsidR="00CD4B19" w:rsidRPr="0070772A">
        <w:rPr>
          <w:rFonts w:ascii="Palatino Linotype" w:hAnsi="Palatino Linotype"/>
          <w:sz w:val="22"/>
        </w:rPr>
        <w:t xml:space="preserve">Tabela </w:t>
      </w:r>
      <w:r w:rsidR="00A94229" w:rsidRPr="0070772A">
        <w:rPr>
          <w:rFonts w:ascii="Palatino Linotype" w:hAnsi="Palatino Linotype"/>
          <w:sz w:val="22"/>
        </w:rPr>
        <w:t>5</w:t>
      </w:r>
      <w:r w:rsidR="00CD4B19" w:rsidRPr="0070772A">
        <w:rPr>
          <w:rFonts w:ascii="Palatino Linotype" w:hAnsi="Palatino Linotype"/>
          <w:sz w:val="22"/>
        </w:rPr>
        <w:t>, que apresenta a área de Conhecimentos Contábeis, Financeiros e assuntos afins, a distribuição de disciplinas é mais equilibrada</w:t>
      </w:r>
      <w:r w:rsidR="00C33112" w:rsidRPr="0070772A">
        <w:rPr>
          <w:rFonts w:ascii="Palatino Linotype" w:hAnsi="Palatino Linotype"/>
          <w:sz w:val="22"/>
        </w:rPr>
        <w:t>, distribuíd</w:t>
      </w:r>
      <w:r w:rsidR="00CD4B19" w:rsidRPr="0070772A">
        <w:rPr>
          <w:rFonts w:ascii="Palatino Linotype" w:hAnsi="Palatino Linotype"/>
          <w:sz w:val="22"/>
        </w:rPr>
        <w:t>a</w:t>
      </w:r>
      <w:r w:rsidR="00C33112" w:rsidRPr="0070772A">
        <w:rPr>
          <w:rFonts w:ascii="Palatino Linotype" w:hAnsi="Palatino Linotype"/>
          <w:sz w:val="22"/>
        </w:rPr>
        <w:t>s basic</w:t>
      </w:r>
      <w:r w:rsidRPr="0070772A">
        <w:rPr>
          <w:rFonts w:ascii="Palatino Linotype" w:hAnsi="Palatino Linotype"/>
          <w:sz w:val="22"/>
        </w:rPr>
        <w:t>amente por todos os temas e IES.</w:t>
      </w:r>
    </w:p>
    <w:p w:rsidR="00FD52B9" w:rsidRPr="0070772A" w:rsidRDefault="00FD52B9" w:rsidP="00BE160E">
      <w:pPr>
        <w:rPr>
          <w:rFonts w:ascii="Palatino Linotype" w:hAnsi="Palatino Linotype"/>
          <w:sz w:val="22"/>
        </w:rPr>
      </w:pPr>
    </w:p>
    <w:p w:rsidR="00CD4B19" w:rsidRPr="0070772A" w:rsidRDefault="00CD4B19" w:rsidP="00BE160E">
      <w:pPr>
        <w:ind w:firstLine="0"/>
        <w:jc w:val="center"/>
        <w:rPr>
          <w:rFonts w:ascii="Palatino Linotype" w:hAnsi="Palatino Linotype"/>
          <w:b/>
          <w:sz w:val="18"/>
          <w:szCs w:val="18"/>
        </w:rPr>
      </w:pPr>
      <w:r w:rsidRPr="0070772A">
        <w:rPr>
          <w:rFonts w:ascii="Palatino Linotype" w:eastAsia="Times New Roman" w:hAnsi="Palatino Linotype"/>
          <w:b/>
          <w:sz w:val="18"/>
          <w:szCs w:val="18"/>
          <w:lang w:eastAsia="pt-BR"/>
        </w:rPr>
        <w:t xml:space="preserve">Tabela 5 – Áreas de Conhecimento </w:t>
      </w:r>
      <w:r w:rsidR="00720C20" w:rsidRPr="0070772A">
        <w:rPr>
          <w:rFonts w:ascii="Palatino Linotype" w:eastAsia="Times New Roman" w:hAnsi="Palatino Linotype"/>
          <w:b/>
          <w:sz w:val="18"/>
          <w:szCs w:val="18"/>
          <w:lang w:eastAsia="pt-BR"/>
        </w:rPr>
        <w:t>mais frequentes</w:t>
      </w:r>
      <w:r w:rsidRPr="0070772A">
        <w:rPr>
          <w:rFonts w:ascii="Palatino Linotype" w:eastAsia="Times New Roman" w:hAnsi="Palatino Linotype"/>
          <w:b/>
          <w:sz w:val="18"/>
          <w:szCs w:val="18"/>
          <w:lang w:eastAsia="pt-BR"/>
        </w:rPr>
        <w:t xml:space="preserve"> no Bloco Conhecimento Contábeis, Financeiros e Assuntos Afins</w:t>
      </w:r>
    </w:p>
    <w:tbl>
      <w:tblPr>
        <w:tblW w:w="9249" w:type="dxa"/>
        <w:tblBorders>
          <w:top w:val="single" w:sz="12" w:space="0" w:color="auto"/>
          <w:bottom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09"/>
        <w:gridCol w:w="389"/>
        <w:gridCol w:w="389"/>
        <w:gridCol w:w="389"/>
        <w:gridCol w:w="389"/>
        <w:gridCol w:w="389"/>
        <w:gridCol w:w="389"/>
        <w:gridCol w:w="389"/>
        <w:gridCol w:w="389"/>
        <w:gridCol w:w="389"/>
        <w:gridCol w:w="389"/>
        <w:gridCol w:w="389"/>
        <w:gridCol w:w="389"/>
        <w:gridCol w:w="389"/>
        <w:gridCol w:w="389"/>
        <w:gridCol w:w="389"/>
        <w:gridCol w:w="389"/>
        <w:gridCol w:w="410"/>
        <w:gridCol w:w="455"/>
      </w:tblGrid>
      <w:tr w:rsidR="0070772A" w:rsidRPr="0070772A" w:rsidTr="00C13966">
        <w:trPr>
          <w:cantSplit/>
          <w:trHeight w:val="1247"/>
        </w:trPr>
        <w:tc>
          <w:tcPr>
            <w:tcW w:w="220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Subáreas</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FURB</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CATOL</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UNISUL</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UNOESC</w:t>
            </w:r>
          </w:p>
        </w:tc>
        <w:tc>
          <w:tcPr>
            <w:tcW w:w="340"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UNOCHAP</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UNIVILLE</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USJ</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UNIVALI</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UNIFEBE</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UDESC</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UNC</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UNESC</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UNIARP</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UNIBAVE</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UNIDAVI</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UNIPLAC</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Total</w:t>
            </w:r>
          </w:p>
        </w:tc>
        <w:tc>
          <w:tcPr>
            <w:tcW w:w="0" w:type="auto"/>
            <w:shd w:val="clear" w:color="auto" w:fill="auto"/>
            <w:noWrap/>
            <w:textDirection w:val="btLr"/>
            <w:vAlign w:val="center"/>
            <w:hideMark/>
          </w:tcPr>
          <w:p w:rsidR="00637FFE" w:rsidRPr="0070772A" w:rsidRDefault="00A94229"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Frequência (%)</w:t>
            </w:r>
          </w:p>
        </w:tc>
      </w:tr>
      <w:tr w:rsidR="00C13966" w:rsidRPr="0070772A" w:rsidTr="00C13966">
        <w:trPr>
          <w:trHeight w:val="20"/>
        </w:trPr>
        <w:tc>
          <w:tcPr>
            <w:tcW w:w="2209" w:type="dxa"/>
            <w:shd w:val="clear" w:color="auto" w:fill="auto"/>
            <w:noWrap/>
            <w:hideMark/>
          </w:tcPr>
          <w:p w:rsidR="00C868A2" w:rsidRPr="0070772A" w:rsidRDefault="00C868A2" w:rsidP="00BE160E">
            <w:pPr>
              <w:pStyle w:val="Textodocorpo20"/>
              <w:spacing w:after="0" w:line="240" w:lineRule="auto"/>
              <w:jc w:val="left"/>
              <w:rPr>
                <w:sz w:val="18"/>
                <w:szCs w:val="18"/>
                <w:lang w:val="pt-BR" w:eastAsia="pt-BR"/>
              </w:rPr>
            </w:pPr>
            <w:r w:rsidRPr="0070772A">
              <w:rPr>
                <w:rStyle w:val="Textodocorpo285pt"/>
                <w:rFonts w:cs="Times New Roman"/>
                <w:color w:val="auto"/>
                <w:sz w:val="18"/>
                <w:szCs w:val="18"/>
              </w:rPr>
              <w:t>3.1 Contabilidade básica;</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35</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14,3</w:t>
            </w:r>
          </w:p>
        </w:tc>
      </w:tr>
      <w:tr w:rsidR="00C13966" w:rsidRPr="0070772A" w:rsidTr="00C13966">
        <w:trPr>
          <w:trHeight w:val="20"/>
        </w:trPr>
        <w:tc>
          <w:tcPr>
            <w:tcW w:w="2209" w:type="dxa"/>
            <w:shd w:val="clear" w:color="auto" w:fill="auto"/>
            <w:noWrap/>
            <w:hideMark/>
          </w:tcPr>
          <w:p w:rsidR="00C868A2" w:rsidRPr="0070772A" w:rsidRDefault="00C868A2" w:rsidP="00BE160E">
            <w:pPr>
              <w:pStyle w:val="Textodocorpo20"/>
              <w:tabs>
                <w:tab w:val="left" w:pos="202"/>
              </w:tabs>
              <w:spacing w:after="0" w:line="240" w:lineRule="auto"/>
              <w:jc w:val="left"/>
              <w:rPr>
                <w:sz w:val="18"/>
                <w:szCs w:val="18"/>
                <w:lang w:val="pt-BR" w:eastAsia="pt-BR"/>
              </w:rPr>
            </w:pPr>
            <w:r w:rsidRPr="0070772A">
              <w:rPr>
                <w:rStyle w:val="Textodocorpo285pt"/>
                <w:rFonts w:cs="Times New Roman"/>
                <w:color w:val="auto"/>
                <w:sz w:val="18"/>
                <w:szCs w:val="18"/>
              </w:rPr>
              <w:t>3.2 Contabilidade finan</w:t>
            </w:r>
            <w:r w:rsidR="00567F00" w:rsidRPr="0070772A">
              <w:rPr>
                <w:rStyle w:val="Textodocorpo285pt"/>
                <w:rFonts w:cs="Times New Roman"/>
                <w:color w:val="auto"/>
                <w:sz w:val="18"/>
                <w:szCs w:val="18"/>
              </w:rPr>
              <w:softHyphen/>
            </w:r>
            <w:r w:rsidRPr="0070772A">
              <w:rPr>
                <w:rStyle w:val="Textodocorpo285pt"/>
                <w:rFonts w:cs="Times New Roman"/>
                <w:color w:val="auto"/>
                <w:sz w:val="18"/>
                <w:szCs w:val="18"/>
              </w:rPr>
              <w:t>ceira;</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35</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14,3</w:t>
            </w:r>
          </w:p>
        </w:tc>
      </w:tr>
      <w:tr w:rsidR="00C13966" w:rsidRPr="0070772A" w:rsidTr="00C13966">
        <w:trPr>
          <w:trHeight w:val="20"/>
        </w:trPr>
        <w:tc>
          <w:tcPr>
            <w:tcW w:w="2209" w:type="dxa"/>
            <w:shd w:val="clear" w:color="auto" w:fill="auto"/>
            <w:noWrap/>
            <w:hideMark/>
          </w:tcPr>
          <w:p w:rsidR="00C868A2" w:rsidRPr="0070772A" w:rsidRDefault="00C868A2" w:rsidP="00BE160E">
            <w:pPr>
              <w:pStyle w:val="Textodocorpo20"/>
              <w:spacing w:after="0" w:line="240" w:lineRule="auto"/>
              <w:jc w:val="left"/>
              <w:rPr>
                <w:sz w:val="18"/>
                <w:szCs w:val="18"/>
                <w:lang w:val="pt-BR" w:eastAsia="pt-BR"/>
              </w:rPr>
            </w:pPr>
            <w:r w:rsidRPr="0070772A">
              <w:rPr>
                <w:rStyle w:val="Textodocorpo285pt"/>
                <w:rFonts w:cs="Times New Roman"/>
                <w:color w:val="auto"/>
                <w:sz w:val="18"/>
                <w:szCs w:val="18"/>
              </w:rPr>
              <w:t>3.3 Contabilidade finan</w:t>
            </w:r>
            <w:r w:rsidR="00567F00" w:rsidRPr="0070772A">
              <w:rPr>
                <w:rStyle w:val="Textodocorpo285pt"/>
                <w:rFonts w:cs="Times New Roman"/>
                <w:color w:val="auto"/>
                <w:sz w:val="18"/>
                <w:szCs w:val="18"/>
              </w:rPr>
              <w:softHyphen/>
            </w:r>
            <w:r w:rsidRPr="0070772A">
              <w:rPr>
                <w:rStyle w:val="Textodocorpo285pt"/>
                <w:rFonts w:cs="Times New Roman"/>
                <w:color w:val="auto"/>
                <w:sz w:val="18"/>
                <w:szCs w:val="18"/>
              </w:rPr>
              <w:t>ceira avançada;</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27</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11,1</w:t>
            </w:r>
          </w:p>
        </w:tc>
      </w:tr>
      <w:tr w:rsidR="00C13966" w:rsidRPr="0070772A" w:rsidTr="00C13966">
        <w:trPr>
          <w:trHeight w:val="20"/>
        </w:trPr>
        <w:tc>
          <w:tcPr>
            <w:tcW w:w="2209" w:type="dxa"/>
            <w:shd w:val="clear" w:color="auto" w:fill="auto"/>
            <w:noWrap/>
            <w:hideMark/>
          </w:tcPr>
          <w:p w:rsidR="00C868A2" w:rsidRPr="0070772A" w:rsidRDefault="00C868A2" w:rsidP="00BE160E">
            <w:pPr>
              <w:pStyle w:val="Textodocorpo20"/>
              <w:tabs>
                <w:tab w:val="left" w:pos="211"/>
              </w:tabs>
              <w:spacing w:after="0" w:line="240" w:lineRule="auto"/>
              <w:jc w:val="left"/>
              <w:rPr>
                <w:sz w:val="18"/>
                <w:szCs w:val="18"/>
                <w:lang w:val="pt-BR" w:eastAsia="pt-BR"/>
              </w:rPr>
            </w:pPr>
            <w:r w:rsidRPr="0070772A">
              <w:rPr>
                <w:rStyle w:val="Textodocorpo285pt"/>
                <w:rFonts w:cs="Times New Roman"/>
                <w:color w:val="auto"/>
                <w:sz w:val="18"/>
                <w:szCs w:val="18"/>
              </w:rPr>
              <w:t>3.4 Contabilidade geren</w:t>
            </w:r>
            <w:r w:rsidR="00567F00" w:rsidRPr="0070772A">
              <w:rPr>
                <w:rStyle w:val="Textodocorpo285pt"/>
                <w:rFonts w:cs="Times New Roman"/>
                <w:color w:val="auto"/>
                <w:sz w:val="18"/>
                <w:szCs w:val="18"/>
              </w:rPr>
              <w:softHyphen/>
            </w:r>
            <w:r w:rsidRPr="0070772A">
              <w:rPr>
                <w:rStyle w:val="Textodocorpo285pt"/>
                <w:rFonts w:cs="Times New Roman"/>
                <w:color w:val="auto"/>
                <w:sz w:val="18"/>
                <w:szCs w:val="18"/>
              </w:rPr>
              <w:t>cial - conceitos básicos;</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29</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11,9</w:t>
            </w:r>
          </w:p>
        </w:tc>
      </w:tr>
      <w:tr w:rsidR="00C13966" w:rsidRPr="0070772A" w:rsidTr="00C13966">
        <w:trPr>
          <w:trHeight w:val="20"/>
        </w:trPr>
        <w:tc>
          <w:tcPr>
            <w:tcW w:w="2209" w:type="dxa"/>
            <w:shd w:val="clear" w:color="auto" w:fill="auto"/>
            <w:noWrap/>
            <w:hideMark/>
          </w:tcPr>
          <w:p w:rsidR="00C868A2" w:rsidRPr="0070772A" w:rsidRDefault="00C868A2" w:rsidP="00BE160E">
            <w:pPr>
              <w:pStyle w:val="Textodocorpo20"/>
              <w:tabs>
                <w:tab w:val="left" w:pos="187"/>
              </w:tabs>
              <w:spacing w:after="0" w:line="240" w:lineRule="auto"/>
              <w:jc w:val="left"/>
              <w:rPr>
                <w:sz w:val="18"/>
                <w:szCs w:val="18"/>
                <w:lang w:val="pt-BR" w:eastAsia="pt-BR"/>
              </w:rPr>
            </w:pPr>
            <w:r w:rsidRPr="0070772A">
              <w:rPr>
                <w:rStyle w:val="Textodocorpo285pt"/>
                <w:rFonts w:cs="Times New Roman"/>
                <w:color w:val="auto"/>
                <w:sz w:val="18"/>
                <w:szCs w:val="18"/>
              </w:rPr>
              <w:t>3.5 Tributação;</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4</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29</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11,9</w:t>
            </w:r>
          </w:p>
        </w:tc>
      </w:tr>
      <w:tr w:rsidR="00C13966" w:rsidRPr="0070772A" w:rsidTr="00C13966">
        <w:trPr>
          <w:trHeight w:val="20"/>
        </w:trPr>
        <w:tc>
          <w:tcPr>
            <w:tcW w:w="2209" w:type="dxa"/>
            <w:shd w:val="clear" w:color="auto" w:fill="auto"/>
            <w:noWrap/>
            <w:hideMark/>
          </w:tcPr>
          <w:p w:rsidR="00C868A2" w:rsidRPr="0070772A" w:rsidRDefault="00C868A2" w:rsidP="00BE160E">
            <w:pPr>
              <w:pStyle w:val="Textodocorpo20"/>
              <w:tabs>
                <w:tab w:val="left" w:pos="163"/>
              </w:tabs>
              <w:spacing w:after="0" w:line="240" w:lineRule="auto"/>
              <w:jc w:val="left"/>
              <w:rPr>
                <w:sz w:val="18"/>
                <w:szCs w:val="18"/>
                <w:lang w:val="pt-BR" w:eastAsia="pt-BR"/>
              </w:rPr>
            </w:pPr>
            <w:r w:rsidRPr="0070772A">
              <w:rPr>
                <w:rStyle w:val="Textodocorpo285pt"/>
                <w:rFonts w:cs="Times New Roman"/>
                <w:color w:val="auto"/>
                <w:sz w:val="18"/>
                <w:szCs w:val="18"/>
              </w:rPr>
              <w:t>3.6 Sistemas de informa</w:t>
            </w:r>
            <w:r w:rsidR="00567F00" w:rsidRPr="0070772A">
              <w:rPr>
                <w:rStyle w:val="Textodocorpo285pt"/>
                <w:rFonts w:cs="Times New Roman"/>
                <w:color w:val="auto"/>
                <w:sz w:val="18"/>
                <w:szCs w:val="18"/>
              </w:rPr>
              <w:softHyphen/>
            </w:r>
            <w:r w:rsidRPr="0070772A">
              <w:rPr>
                <w:rStyle w:val="Textodocorpo285pt"/>
                <w:rFonts w:cs="Times New Roman"/>
                <w:color w:val="auto"/>
                <w:sz w:val="18"/>
                <w:szCs w:val="18"/>
              </w:rPr>
              <w:t>ções contábeis;</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8</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3,3</w:t>
            </w:r>
          </w:p>
        </w:tc>
      </w:tr>
      <w:tr w:rsidR="00C13966" w:rsidRPr="0070772A" w:rsidTr="00C13966">
        <w:trPr>
          <w:trHeight w:val="20"/>
        </w:trPr>
        <w:tc>
          <w:tcPr>
            <w:tcW w:w="2209" w:type="dxa"/>
            <w:shd w:val="clear" w:color="auto" w:fill="auto"/>
            <w:noWrap/>
            <w:hideMark/>
          </w:tcPr>
          <w:p w:rsidR="00C868A2" w:rsidRPr="0070772A" w:rsidRDefault="00C868A2" w:rsidP="00BE160E">
            <w:pPr>
              <w:pStyle w:val="Textodocorpo20"/>
              <w:tabs>
                <w:tab w:val="left" w:pos="206"/>
              </w:tabs>
              <w:spacing w:after="0" w:line="240" w:lineRule="auto"/>
              <w:jc w:val="left"/>
              <w:rPr>
                <w:sz w:val="18"/>
                <w:szCs w:val="18"/>
                <w:lang w:val="pt-BR" w:eastAsia="pt-BR"/>
              </w:rPr>
            </w:pPr>
            <w:r w:rsidRPr="0070772A">
              <w:rPr>
                <w:rStyle w:val="Textodocorpo285pt"/>
                <w:rFonts w:cs="Times New Roman"/>
                <w:color w:val="auto"/>
                <w:sz w:val="18"/>
                <w:szCs w:val="18"/>
              </w:rPr>
              <w:t>3.7 Direito comercial e em</w:t>
            </w:r>
            <w:r w:rsidRPr="0070772A">
              <w:rPr>
                <w:rStyle w:val="Textodocorpo285pt"/>
                <w:rFonts w:cs="Times New Roman"/>
                <w:color w:val="auto"/>
                <w:sz w:val="18"/>
                <w:szCs w:val="18"/>
              </w:rPr>
              <w:softHyphen/>
              <w:t>presarial;</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4</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12,3</w:t>
            </w:r>
          </w:p>
        </w:tc>
      </w:tr>
      <w:tr w:rsidR="00C13966" w:rsidRPr="0070772A" w:rsidTr="00C13966">
        <w:trPr>
          <w:trHeight w:val="20"/>
        </w:trPr>
        <w:tc>
          <w:tcPr>
            <w:tcW w:w="2209" w:type="dxa"/>
            <w:shd w:val="clear" w:color="auto" w:fill="auto"/>
            <w:noWrap/>
            <w:hideMark/>
          </w:tcPr>
          <w:p w:rsidR="00C868A2" w:rsidRPr="0070772A" w:rsidRDefault="00C868A2" w:rsidP="00BE160E">
            <w:pPr>
              <w:pStyle w:val="Textodocorpo20"/>
              <w:tabs>
                <w:tab w:val="left" w:pos="211"/>
              </w:tabs>
              <w:spacing w:after="0" w:line="240" w:lineRule="auto"/>
              <w:jc w:val="left"/>
              <w:rPr>
                <w:sz w:val="18"/>
                <w:szCs w:val="18"/>
                <w:lang w:val="pt-BR" w:eastAsia="pt-BR"/>
              </w:rPr>
            </w:pPr>
            <w:r w:rsidRPr="0070772A">
              <w:rPr>
                <w:rStyle w:val="Textodocorpo285pt"/>
                <w:rFonts w:cs="Times New Roman"/>
                <w:color w:val="auto"/>
                <w:sz w:val="18"/>
                <w:szCs w:val="18"/>
              </w:rPr>
              <w:t>3.8 Fundamentos sobre audi</w:t>
            </w:r>
            <w:r w:rsidRPr="0070772A">
              <w:rPr>
                <w:rStyle w:val="Textodocorpo285pt"/>
                <w:rFonts w:cs="Times New Roman"/>
                <w:color w:val="auto"/>
                <w:sz w:val="18"/>
                <w:szCs w:val="18"/>
              </w:rPr>
              <w:softHyphen/>
              <w:t>toria;</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17</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7</w:t>
            </w:r>
          </w:p>
        </w:tc>
      </w:tr>
      <w:tr w:rsidR="00C13966" w:rsidRPr="0070772A" w:rsidTr="00C13966">
        <w:trPr>
          <w:trHeight w:val="20"/>
        </w:trPr>
        <w:tc>
          <w:tcPr>
            <w:tcW w:w="2209" w:type="dxa"/>
            <w:shd w:val="clear" w:color="auto" w:fill="auto"/>
            <w:noWrap/>
            <w:hideMark/>
          </w:tcPr>
          <w:p w:rsidR="00C868A2" w:rsidRPr="0070772A" w:rsidRDefault="00C868A2" w:rsidP="00BE160E">
            <w:pPr>
              <w:pStyle w:val="Textodocorpo20"/>
              <w:spacing w:after="0" w:line="240" w:lineRule="auto"/>
              <w:jc w:val="left"/>
              <w:rPr>
                <w:sz w:val="18"/>
                <w:szCs w:val="18"/>
                <w:lang w:val="pt-BR" w:eastAsia="pt-BR"/>
              </w:rPr>
            </w:pPr>
            <w:r w:rsidRPr="0070772A">
              <w:rPr>
                <w:rStyle w:val="Textodocorpo285pt"/>
                <w:rFonts w:cs="Times New Roman"/>
                <w:color w:val="auto"/>
                <w:sz w:val="18"/>
                <w:szCs w:val="18"/>
              </w:rPr>
              <w:t xml:space="preserve">3.9 Finanças empresariais </w:t>
            </w:r>
            <w:r w:rsidRPr="0070772A">
              <w:rPr>
                <w:rStyle w:val="Textodocorpo285pt"/>
                <w:rFonts w:cs="Times New Roman"/>
                <w:color w:val="auto"/>
                <w:sz w:val="18"/>
                <w:szCs w:val="18"/>
              </w:rPr>
              <w:lastRenderedPageBreak/>
              <w:t>e gestão financeira;</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lastRenderedPageBreak/>
              <w:t>3</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13,1</w:t>
            </w:r>
          </w:p>
        </w:tc>
      </w:tr>
      <w:tr w:rsidR="00C13966" w:rsidRPr="0070772A" w:rsidTr="00C13966">
        <w:trPr>
          <w:trHeight w:val="20"/>
        </w:trPr>
        <w:tc>
          <w:tcPr>
            <w:tcW w:w="2209" w:type="dxa"/>
            <w:shd w:val="clear" w:color="auto" w:fill="auto"/>
            <w:noWrap/>
            <w:hideMark/>
          </w:tcPr>
          <w:p w:rsidR="00C868A2" w:rsidRPr="0070772A" w:rsidRDefault="00C868A2" w:rsidP="00BE160E">
            <w:pPr>
              <w:ind w:firstLine="0"/>
              <w:jc w:val="left"/>
              <w:rPr>
                <w:rFonts w:ascii="Palatino Linotype" w:hAnsi="Palatino Linotype"/>
                <w:sz w:val="18"/>
                <w:szCs w:val="18"/>
              </w:rPr>
            </w:pPr>
            <w:r w:rsidRPr="0070772A">
              <w:rPr>
                <w:rStyle w:val="Textodocorpo285pt"/>
                <w:rFonts w:cs="Times New Roman"/>
                <w:color w:val="auto"/>
                <w:sz w:val="18"/>
                <w:szCs w:val="18"/>
              </w:rPr>
              <w:t>3.10 Módulo sobre inte</w:t>
            </w:r>
            <w:r w:rsidR="00567F00" w:rsidRPr="0070772A">
              <w:rPr>
                <w:rStyle w:val="Textodocorpo285pt"/>
                <w:rFonts w:cs="Times New Roman"/>
                <w:color w:val="auto"/>
                <w:sz w:val="18"/>
                <w:szCs w:val="18"/>
              </w:rPr>
              <w:softHyphen/>
            </w:r>
            <w:r w:rsidRPr="0070772A">
              <w:rPr>
                <w:rStyle w:val="Textodocorpo285pt"/>
                <w:rFonts w:cs="Times New Roman"/>
                <w:color w:val="auto"/>
                <w:sz w:val="18"/>
                <w:szCs w:val="18"/>
              </w:rPr>
              <w:t xml:space="preserve">gração do conhecimento: </w:t>
            </w:r>
            <w:r w:rsidRPr="0070772A">
              <w:rPr>
                <w:rStyle w:val="Textodocorpo285ptItlico"/>
                <w:rFonts w:cs="Times New Roman"/>
                <w:color w:val="auto"/>
                <w:sz w:val="18"/>
                <w:szCs w:val="18"/>
              </w:rPr>
              <w:t xml:space="preserve">a </w:t>
            </w:r>
            <w:proofErr w:type="spellStart"/>
            <w:r w:rsidRPr="0070772A">
              <w:rPr>
                <w:rStyle w:val="Textodocorpo285ptItlico"/>
                <w:rFonts w:cs="Times New Roman"/>
                <w:color w:val="auto"/>
                <w:sz w:val="18"/>
                <w:szCs w:val="18"/>
              </w:rPr>
              <w:t>capstone</w:t>
            </w:r>
            <w:proofErr w:type="spellEnd"/>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0,8</w:t>
            </w:r>
          </w:p>
        </w:tc>
      </w:tr>
      <w:tr w:rsidR="00C13966" w:rsidRPr="0070772A" w:rsidTr="00C13966">
        <w:trPr>
          <w:trHeight w:val="20"/>
        </w:trPr>
        <w:tc>
          <w:tcPr>
            <w:tcW w:w="2209" w:type="dxa"/>
            <w:shd w:val="clear" w:color="auto" w:fill="auto"/>
            <w:noWrap/>
            <w:vAlign w:val="bottom"/>
            <w:hideMark/>
          </w:tcPr>
          <w:p w:rsidR="00637FFE" w:rsidRPr="0070772A" w:rsidRDefault="00637FFE" w:rsidP="00BE160E">
            <w:pPr>
              <w:ind w:firstLine="0"/>
              <w:jc w:val="left"/>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Total</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17</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13</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15</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16</w:t>
            </w:r>
          </w:p>
        </w:tc>
        <w:tc>
          <w:tcPr>
            <w:tcW w:w="340"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15</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13</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12</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15</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16</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16</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14</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16</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13</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15</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16</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22</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244</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100</w:t>
            </w:r>
          </w:p>
        </w:tc>
      </w:tr>
    </w:tbl>
    <w:p w:rsidR="00C3197C" w:rsidRPr="0070772A" w:rsidRDefault="00C3197C" w:rsidP="00BE160E">
      <w:pPr>
        <w:ind w:firstLine="0"/>
        <w:rPr>
          <w:rFonts w:ascii="Palatino Linotype" w:hAnsi="Palatino Linotype"/>
          <w:sz w:val="18"/>
        </w:rPr>
      </w:pPr>
      <w:r w:rsidRPr="0070772A">
        <w:rPr>
          <w:rFonts w:ascii="Palatino Linotype" w:hAnsi="Palatino Linotype"/>
          <w:sz w:val="18"/>
        </w:rPr>
        <w:t>Fonte: dados da pesquisa.</w:t>
      </w:r>
    </w:p>
    <w:p w:rsidR="000724A2" w:rsidRPr="0070772A" w:rsidRDefault="00C33112" w:rsidP="00BE160E">
      <w:pPr>
        <w:rPr>
          <w:rFonts w:ascii="Palatino Linotype" w:hAnsi="Palatino Linotype"/>
          <w:sz w:val="22"/>
        </w:rPr>
      </w:pPr>
      <w:r w:rsidRPr="0070772A">
        <w:rPr>
          <w:rFonts w:ascii="Palatino Linotype" w:hAnsi="Palatino Linotype"/>
          <w:sz w:val="22"/>
        </w:rPr>
        <w:t xml:space="preserve"> </w:t>
      </w:r>
    </w:p>
    <w:p w:rsidR="009E612C" w:rsidRPr="0070772A" w:rsidRDefault="00637FFE" w:rsidP="00BE160E">
      <w:pPr>
        <w:rPr>
          <w:rFonts w:ascii="Palatino Linotype" w:hAnsi="Palatino Linotype"/>
          <w:sz w:val="22"/>
        </w:rPr>
      </w:pPr>
      <w:r w:rsidRPr="0070772A">
        <w:rPr>
          <w:rFonts w:ascii="Palatino Linotype" w:hAnsi="Palatino Linotype"/>
          <w:sz w:val="22"/>
        </w:rPr>
        <w:t>O</w:t>
      </w:r>
      <w:r w:rsidR="00C33112" w:rsidRPr="0070772A">
        <w:rPr>
          <w:rFonts w:ascii="Palatino Linotype" w:hAnsi="Palatino Linotype"/>
          <w:sz w:val="22"/>
        </w:rPr>
        <w:t>s destaques são a UNIPLAC e a FURB</w:t>
      </w:r>
      <w:r w:rsidR="00C3197C" w:rsidRPr="0070772A">
        <w:rPr>
          <w:rFonts w:ascii="Palatino Linotype" w:hAnsi="Palatino Linotype"/>
          <w:sz w:val="22"/>
        </w:rPr>
        <w:t>,</w:t>
      </w:r>
      <w:r w:rsidR="00C33112" w:rsidRPr="0070772A">
        <w:rPr>
          <w:rFonts w:ascii="Palatino Linotype" w:hAnsi="Palatino Linotype"/>
          <w:sz w:val="22"/>
        </w:rPr>
        <w:t xml:space="preserve"> com 22 e 17 disciplinas</w:t>
      </w:r>
      <w:r w:rsidR="00C3197C" w:rsidRPr="0070772A">
        <w:rPr>
          <w:rFonts w:ascii="Palatino Linotype" w:hAnsi="Palatino Linotype"/>
          <w:sz w:val="22"/>
        </w:rPr>
        <w:t xml:space="preserve"> similares ao Currículo Mundial,</w:t>
      </w:r>
      <w:r w:rsidR="00C33112" w:rsidRPr="0070772A">
        <w:rPr>
          <w:rFonts w:ascii="Palatino Linotype" w:hAnsi="Palatino Linotype"/>
          <w:sz w:val="22"/>
        </w:rPr>
        <w:t xml:space="preserve"> respectivamente. A menor </w:t>
      </w:r>
      <w:r w:rsidR="00C3197C" w:rsidRPr="0070772A">
        <w:rPr>
          <w:rFonts w:ascii="Palatino Linotype" w:hAnsi="Palatino Linotype"/>
          <w:sz w:val="22"/>
        </w:rPr>
        <w:t xml:space="preserve">similaridade </w:t>
      </w:r>
      <w:r w:rsidR="00C33112" w:rsidRPr="0070772A">
        <w:rPr>
          <w:rFonts w:ascii="Palatino Linotype" w:hAnsi="Palatino Linotype"/>
          <w:sz w:val="22"/>
        </w:rPr>
        <w:t xml:space="preserve">é a </w:t>
      </w:r>
      <w:r w:rsidR="00C3197C" w:rsidRPr="0070772A">
        <w:rPr>
          <w:rFonts w:ascii="Palatino Linotype" w:hAnsi="Palatino Linotype"/>
          <w:sz w:val="22"/>
        </w:rPr>
        <w:t xml:space="preserve">da </w:t>
      </w:r>
      <w:r w:rsidR="00C33112" w:rsidRPr="0070772A">
        <w:rPr>
          <w:rFonts w:ascii="Palatino Linotype" w:hAnsi="Palatino Linotype"/>
          <w:sz w:val="22"/>
        </w:rPr>
        <w:t>UNIARP</w:t>
      </w:r>
      <w:r w:rsidR="00C3197C" w:rsidRPr="0070772A">
        <w:rPr>
          <w:rFonts w:ascii="Palatino Linotype" w:hAnsi="Palatino Linotype"/>
          <w:sz w:val="22"/>
        </w:rPr>
        <w:t>,</w:t>
      </w:r>
      <w:r w:rsidR="00C33112" w:rsidRPr="0070772A">
        <w:rPr>
          <w:rFonts w:ascii="Palatino Linotype" w:hAnsi="Palatino Linotype"/>
          <w:sz w:val="22"/>
        </w:rPr>
        <w:t xml:space="preserve"> com 13 disciplinas. A exceção entre os temas trabalhados são os Módulos Integrados </w:t>
      </w:r>
      <w:r w:rsidR="00C33112" w:rsidRPr="0070772A">
        <w:rPr>
          <w:rFonts w:ascii="Palatino Linotype" w:hAnsi="Palatino Linotype"/>
          <w:i/>
          <w:sz w:val="22"/>
        </w:rPr>
        <w:t>Capstone</w:t>
      </w:r>
      <w:r w:rsidR="00C33112" w:rsidRPr="0070772A">
        <w:rPr>
          <w:rFonts w:ascii="Palatino Linotype" w:hAnsi="Palatino Linotype"/>
          <w:sz w:val="22"/>
        </w:rPr>
        <w:t>.</w:t>
      </w:r>
      <w:r w:rsidR="009E612C" w:rsidRPr="0070772A">
        <w:rPr>
          <w:rFonts w:ascii="Palatino Linotype" w:hAnsi="Palatino Linotype"/>
          <w:sz w:val="22"/>
        </w:rPr>
        <w:t xml:space="preserve"> O que pode ter ocasionado esta frequência maior entre as instituições estudadas e o Currículo Mundial seria de que a</w:t>
      </w:r>
      <w:r w:rsidR="00C3197C" w:rsidRPr="0070772A">
        <w:rPr>
          <w:rFonts w:ascii="Palatino Linotype" w:hAnsi="Palatino Linotype"/>
          <w:sz w:val="22"/>
        </w:rPr>
        <w:t>s</w:t>
      </w:r>
      <w:r w:rsidR="009E612C" w:rsidRPr="0070772A">
        <w:rPr>
          <w:rFonts w:ascii="Palatino Linotype" w:hAnsi="Palatino Linotype"/>
          <w:sz w:val="22"/>
        </w:rPr>
        <w:t xml:space="preserve"> disciplinas exposta</w:t>
      </w:r>
      <w:r w:rsidR="00C3197C" w:rsidRPr="0070772A">
        <w:rPr>
          <w:rFonts w:ascii="Palatino Linotype" w:hAnsi="Palatino Linotype"/>
          <w:sz w:val="22"/>
        </w:rPr>
        <w:t>s</w:t>
      </w:r>
      <w:r w:rsidR="009E612C" w:rsidRPr="0070772A">
        <w:rPr>
          <w:rFonts w:ascii="Palatino Linotype" w:hAnsi="Palatino Linotype"/>
          <w:sz w:val="22"/>
        </w:rPr>
        <w:t xml:space="preserve"> </w:t>
      </w:r>
      <w:r w:rsidR="00C3197C" w:rsidRPr="0070772A">
        <w:rPr>
          <w:rFonts w:ascii="Palatino Linotype" w:hAnsi="Palatino Linotype"/>
          <w:sz w:val="22"/>
        </w:rPr>
        <w:t xml:space="preserve">na Tabela 5 </w:t>
      </w:r>
      <w:r w:rsidR="009E612C" w:rsidRPr="0070772A">
        <w:rPr>
          <w:rFonts w:ascii="Palatino Linotype" w:hAnsi="Palatino Linotype"/>
          <w:sz w:val="22"/>
        </w:rPr>
        <w:t>tenham uma essência fundamental no curso e formação de bacharéis de Ciências Contábeis</w:t>
      </w:r>
      <w:r w:rsidR="006A4C69" w:rsidRPr="0070772A">
        <w:rPr>
          <w:rFonts w:ascii="Palatino Linotype" w:hAnsi="Palatino Linotype"/>
          <w:sz w:val="22"/>
        </w:rPr>
        <w:t>, podendo desta forma</w:t>
      </w:r>
      <w:r w:rsidR="00C3197C" w:rsidRPr="0070772A">
        <w:rPr>
          <w:rFonts w:ascii="Palatino Linotype" w:hAnsi="Palatino Linotype"/>
          <w:sz w:val="22"/>
        </w:rPr>
        <w:t>,</w:t>
      </w:r>
      <w:r w:rsidR="006A4C69" w:rsidRPr="0070772A">
        <w:rPr>
          <w:rFonts w:ascii="Palatino Linotype" w:hAnsi="Palatino Linotype"/>
          <w:sz w:val="22"/>
        </w:rPr>
        <w:t xml:space="preserve"> explicar os resultados.</w:t>
      </w:r>
    </w:p>
    <w:p w:rsidR="00576408" w:rsidRPr="0070772A" w:rsidRDefault="00113F28" w:rsidP="00BE160E">
      <w:pPr>
        <w:rPr>
          <w:rFonts w:ascii="Palatino Linotype" w:hAnsi="Palatino Linotype"/>
          <w:sz w:val="22"/>
        </w:rPr>
      </w:pPr>
      <w:proofErr w:type="spellStart"/>
      <w:r w:rsidRPr="0070772A">
        <w:rPr>
          <w:rFonts w:ascii="Palatino Linotype" w:hAnsi="Palatino Linotype"/>
          <w:sz w:val="22"/>
        </w:rPr>
        <w:t>Czesnat</w:t>
      </w:r>
      <w:proofErr w:type="spellEnd"/>
      <w:r w:rsidRPr="0070772A">
        <w:rPr>
          <w:rFonts w:ascii="Palatino Linotype" w:hAnsi="Palatino Linotype"/>
          <w:sz w:val="22"/>
        </w:rPr>
        <w:t>, Cunha e Domingues (2009)</w:t>
      </w:r>
      <w:r w:rsidR="00876D4B" w:rsidRPr="0070772A">
        <w:rPr>
          <w:rFonts w:ascii="Palatino Linotype" w:hAnsi="Palatino Linotype"/>
          <w:sz w:val="22"/>
        </w:rPr>
        <w:t xml:space="preserve"> constataram que </w:t>
      </w:r>
      <w:r w:rsidR="00040187" w:rsidRPr="0070772A">
        <w:rPr>
          <w:rFonts w:ascii="Palatino Linotype" w:hAnsi="Palatino Linotype"/>
          <w:sz w:val="22"/>
        </w:rPr>
        <w:t xml:space="preserve">9 das 11 instituições </w:t>
      </w:r>
      <w:r w:rsidR="00517539" w:rsidRPr="0070772A">
        <w:rPr>
          <w:rFonts w:ascii="Palatino Linotype" w:hAnsi="Palatino Linotype"/>
          <w:sz w:val="22"/>
        </w:rPr>
        <w:t xml:space="preserve">pesquisadas </w:t>
      </w:r>
      <w:r w:rsidR="00040187" w:rsidRPr="0070772A">
        <w:rPr>
          <w:rFonts w:ascii="Palatino Linotype" w:hAnsi="Palatino Linotype"/>
          <w:sz w:val="22"/>
        </w:rPr>
        <w:t>contempla</w:t>
      </w:r>
      <w:r w:rsidR="00517539" w:rsidRPr="0070772A">
        <w:rPr>
          <w:rFonts w:ascii="Palatino Linotype" w:hAnsi="Palatino Linotype"/>
          <w:sz w:val="22"/>
        </w:rPr>
        <w:t>va</w:t>
      </w:r>
      <w:r w:rsidR="00040187" w:rsidRPr="0070772A">
        <w:rPr>
          <w:rFonts w:ascii="Palatino Linotype" w:hAnsi="Palatino Linotype"/>
          <w:sz w:val="22"/>
        </w:rPr>
        <w:t xml:space="preserve">m </w:t>
      </w:r>
      <w:r w:rsidR="00517539" w:rsidRPr="0070772A">
        <w:rPr>
          <w:rFonts w:ascii="Palatino Linotype" w:hAnsi="Palatino Linotype"/>
          <w:sz w:val="22"/>
        </w:rPr>
        <w:t xml:space="preserve">disciplinas </w:t>
      </w:r>
      <w:r w:rsidR="00040187" w:rsidRPr="0070772A">
        <w:rPr>
          <w:rFonts w:ascii="Palatino Linotype" w:hAnsi="Palatino Linotype"/>
          <w:sz w:val="22"/>
        </w:rPr>
        <w:t>do bloco de conhecimentos contábeis, financeiros e assuntos afins</w:t>
      </w:r>
      <w:r w:rsidR="00A058C8" w:rsidRPr="0070772A">
        <w:rPr>
          <w:rFonts w:ascii="Palatino Linotype" w:hAnsi="Palatino Linotype"/>
          <w:sz w:val="22"/>
        </w:rPr>
        <w:t>.</w:t>
      </w:r>
      <w:r w:rsidR="00517539" w:rsidRPr="0070772A">
        <w:rPr>
          <w:rFonts w:ascii="Palatino Linotype" w:hAnsi="Palatino Linotype"/>
          <w:sz w:val="22"/>
        </w:rPr>
        <w:t xml:space="preserve"> </w:t>
      </w:r>
      <w:r w:rsidR="002545D0" w:rsidRPr="0070772A">
        <w:rPr>
          <w:rFonts w:ascii="Palatino Linotype" w:hAnsi="Palatino Linotype"/>
          <w:sz w:val="22"/>
        </w:rPr>
        <w:t xml:space="preserve">O mesmo </w:t>
      </w:r>
      <w:r w:rsidR="00517539" w:rsidRPr="0070772A">
        <w:rPr>
          <w:rFonts w:ascii="Palatino Linotype" w:hAnsi="Palatino Linotype"/>
          <w:sz w:val="22"/>
        </w:rPr>
        <w:t>foi observad</w:t>
      </w:r>
      <w:r w:rsidR="002545D0" w:rsidRPr="0070772A">
        <w:rPr>
          <w:rFonts w:ascii="Palatino Linotype" w:hAnsi="Palatino Linotype"/>
          <w:sz w:val="22"/>
        </w:rPr>
        <w:t>o n</w:t>
      </w:r>
      <w:r w:rsidR="00517539" w:rsidRPr="0070772A">
        <w:rPr>
          <w:rFonts w:ascii="Palatino Linotype" w:hAnsi="Palatino Linotype"/>
          <w:sz w:val="22"/>
        </w:rPr>
        <w:t xml:space="preserve">o </w:t>
      </w:r>
      <w:r w:rsidR="00A058C8" w:rsidRPr="0070772A">
        <w:rPr>
          <w:rFonts w:ascii="Palatino Linotype" w:hAnsi="Palatino Linotype"/>
          <w:sz w:val="22"/>
        </w:rPr>
        <w:t xml:space="preserve">estudo de Segantini </w:t>
      </w:r>
      <w:r w:rsidR="009117C8" w:rsidRPr="0070772A">
        <w:rPr>
          <w:rFonts w:ascii="Palatino Linotype" w:hAnsi="Palatino Linotype"/>
          <w:i/>
          <w:sz w:val="22"/>
        </w:rPr>
        <w:t>et al.</w:t>
      </w:r>
      <w:r w:rsidR="00A058C8" w:rsidRPr="0070772A">
        <w:rPr>
          <w:rFonts w:ascii="Palatino Linotype" w:hAnsi="Palatino Linotype"/>
          <w:sz w:val="22"/>
        </w:rPr>
        <w:t xml:space="preserve"> (2013)</w:t>
      </w:r>
      <w:r w:rsidR="00576408" w:rsidRPr="0070772A">
        <w:rPr>
          <w:rFonts w:ascii="Palatino Linotype" w:hAnsi="Palatino Linotype"/>
          <w:sz w:val="22"/>
        </w:rPr>
        <w:t>. De acordo com autores citados</w:t>
      </w:r>
      <w:r w:rsidR="00517539" w:rsidRPr="0070772A">
        <w:rPr>
          <w:rFonts w:ascii="Palatino Linotype" w:hAnsi="Palatino Linotype"/>
          <w:sz w:val="22"/>
        </w:rPr>
        <w:t>,</w:t>
      </w:r>
      <w:r w:rsidR="00576408" w:rsidRPr="0070772A">
        <w:rPr>
          <w:rFonts w:ascii="Palatino Linotype" w:hAnsi="Palatino Linotype"/>
          <w:sz w:val="22"/>
        </w:rPr>
        <w:t xml:space="preserve"> </w:t>
      </w:r>
      <w:r w:rsidR="00517539" w:rsidRPr="0070772A">
        <w:rPr>
          <w:rFonts w:ascii="Palatino Linotype" w:hAnsi="Palatino Linotype"/>
          <w:sz w:val="22"/>
        </w:rPr>
        <w:t>a</w:t>
      </w:r>
      <w:r w:rsidR="00576408" w:rsidRPr="0070772A">
        <w:rPr>
          <w:rFonts w:ascii="Palatino Linotype" w:hAnsi="Palatino Linotype"/>
          <w:sz w:val="22"/>
        </w:rPr>
        <w:t xml:space="preserve"> maior </w:t>
      </w:r>
      <w:r w:rsidR="00517539" w:rsidRPr="0070772A">
        <w:rPr>
          <w:rFonts w:ascii="Palatino Linotype" w:hAnsi="Palatino Linotype"/>
          <w:sz w:val="22"/>
        </w:rPr>
        <w:t xml:space="preserve">similaridade observada nessa área do conhecimento </w:t>
      </w:r>
      <w:r w:rsidR="00576408" w:rsidRPr="0070772A">
        <w:rPr>
          <w:rFonts w:ascii="Palatino Linotype" w:hAnsi="Palatino Linotype"/>
          <w:sz w:val="22"/>
        </w:rPr>
        <w:t xml:space="preserve">está </w:t>
      </w:r>
      <w:r w:rsidR="005F6844" w:rsidRPr="0070772A">
        <w:rPr>
          <w:rFonts w:ascii="Palatino Linotype" w:hAnsi="Palatino Linotype"/>
          <w:sz w:val="22"/>
        </w:rPr>
        <w:t>relacionada</w:t>
      </w:r>
      <w:r w:rsidR="00576408" w:rsidRPr="0070772A">
        <w:rPr>
          <w:rFonts w:ascii="Palatino Linotype" w:hAnsi="Palatino Linotype"/>
          <w:sz w:val="22"/>
        </w:rPr>
        <w:t xml:space="preserve"> </w:t>
      </w:r>
      <w:r w:rsidR="00517539" w:rsidRPr="0070772A">
        <w:rPr>
          <w:rFonts w:ascii="Palatino Linotype" w:hAnsi="Palatino Linotype"/>
          <w:sz w:val="22"/>
        </w:rPr>
        <w:t>à</w:t>
      </w:r>
      <w:r w:rsidR="00576408" w:rsidRPr="0070772A">
        <w:rPr>
          <w:rFonts w:ascii="Palatino Linotype" w:hAnsi="Palatino Linotype"/>
          <w:sz w:val="22"/>
        </w:rPr>
        <w:t xml:space="preserve"> importância de tais disciplinas no</w:t>
      </w:r>
      <w:r w:rsidR="00517539" w:rsidRPr="0070772A">
        <w:rPr>
          <w:rFonts w:ascii="Palatino Linotype" w:hAnsi="Palatino Linotype"/>
          <w:sz w:val="22"/>
        </w:rPr>
        <w:t>s</w:t>
      </w:r>
      <w:r w:rsidR="00576408" w:rsidRPr="0070772A">
        <w:rPr>
          <w:rFonts w:ascii="Palatino Linotype" w:hAnsi="Palatino Linotype"/>
          <w:sz w:val="22"/>
        </w:rPr>
        <w:t xml:space="preserve"> curso</w:t>
      </w:r>
      <w:r w:rsidR="00517539" w:rsidRPr="0070772A">
        <w:rPr>
          <w:rFonts w:ascii="Palatino Linotype" w:hAnsi="Palatino Linotype"/>
          <w:sz w:val="22"/>
        </w:rPr>
        <w:t>s</w:t>
      </w:r>
      <w:r w:rsidR="00576408" w:rsidRPr="0070772A">
        <w:rPr>
          <w:rFonts w:ascii="Palatino Linotype" w:hAnsi="Palatino Linotype"/>
          <w:sz w:val="22"/>
        </w:rPr>
        <w:t xml:space="preserve"> de </w:t>
      </w:r>
      <w:r w:rsidR="00517539" w:rsidRPr="0070772A">
        <w:rPr>
          <w:rFonts w:ascii="Palatino Linotype" w:hAnsi="Palatino Linotype"/>
          <w:sz w:val="22"/>
        </w:rPr>
        <w:t>Ciências Contábeis</w:t>
      </w:r>
      <w:r w:rsidR="00576408" w:rsidRPr="0070772A">
        <w:rPr>
          <w:rFonts w:ascii="Palatino Linotype" w:hAnsi="Palatino Linotype"/>
          <w:sz w:val="22"/>
        </w:rPr>
        <w:t xml:space="preserve">, que </w:t>
      </w:r>
      <w:r w:rsidR="00517539" w:rsidRPr="0070772A">
        <w:rPr>
          <w:rFonts w:ascii="Palatino Linotype" w:hAnsi="Palatino Linotype"/>
          <w:sz w:val="22"/>
        </w:rPr>
        <w:t>independem d</w:t>
      </w:r>
      <w:r w:rsidR="00576408" w:rsidRPr="0070772A">
        <w:rPr>
          <w:rFonts w:ascii="Palatino Linotype" w:hAnsi="Palatino Linotype"/>
          <w:sz w:val="22"/>
        </w:rPr>
        <w:t xml:space="preserve">as regiões em que se ministra </w:t>
      </w:r>
      <w:r w:rsidR="00517539" w:rsidRPr="0070772A">
        <w:rPr>
          <w:rFonts w:ascii="Palatino Linotype" w:hAnsi="Palatino Linotype"/>
          <w:sz w:val="22"/>
        </w:rPr>
        <w:t>o</w:t>
      </w:r>
      <w:r w:rsidR="00576408" w:rsidRPr="0070772A">
        <w:rPr>
          <w:rFonts w:ascii="Palatino Linotype" w:hAnsi="Palatino Linotype"/>
          <w:sz w:val="22"/>
        </w:rPr>
        <w:t xml:space="preserve"> curso, </w:t>
      </w:r>
      <w:r w:rsidR="00D54894" w:rsidRPr="0070772A">
        <w:rPr>
          <w:rFonts w:ascii="Palatino Linotype" w:hAnsi="Palatino Linotype"/>
          <w:sz w:val="22"/>
        </w:rPr>
        <w:t xml:space="preserve">sendo </w:t>
      </w:r>
      <w:r w:rsidR="00576408" w:rsidRPr="0070772A">
        <w:rPr>
          <w:rFonts w:ascii="Palatino Linotype" w:hAnsi="Palatino Linotype"/>
          <w:sz w:val="22"/>
        </w:rPr>
        <w:t xml:space="preserve">essenciais </w:t>
      </w:r>
      <w:r w:rsidR="00D54894" w:rsidRPr="0070772A">
        <w:rPr>
          <w:rFonts w:ascii="Palatino Linotype" w:hAnsi="Palatino Linotype"/>
          <w:sz w:val="22"/>
        </w:rPr>
        <w:t xml:space="preserve">para </w:t>
      </w:r>
      <w:r w:rsidR="00517539" w:rsidRPr="0070772A">
        <w:rPr>
          <w:rFonts w:ascii="Palatino Linotype" w:hAnsi="Palatino Linotype"/>
          <w:sz w:val="22"/>
        </w:rPr>
        <w:t>a</w:t>
      </w:r>
      <w:r w:rsidR="00576408" w:rsidRPr="0070772A">
        <w:rPr>
          <w:rFonts w:ascii="Palatino Linotype" w:hAnsi="Palatino Linotype"/>
          <w:sz w:val="22"/>
        </w:rPr>
        <w:t xml:space="preserve"> formação de bacharéis em Ciências Contábeis.</w:t>
      </w:r>
    </w:p>
    <w:p w:rsidR="00C33112" w:rsidRPr="0070772A" w:rsidRDefault="00C33112" w:rsidP="00BE160E">
      <w:pPr>
        <w:autoSpaceDE w:val="0"/>
        <w:autoSpaceDN w:val="0"/>
        <w:adjustRightInd w:val="0"/>
        <w:rPr>
          <w:rFonts w:ascii="Palatino Linotype" w:hAnsi="Palatino Linotype"/>
          <w:sz w:val="22"/>
        </w:rPr>
      </w:pPr>
      <w:r w:rsidRPr="0070772A">
        <w:rPr>
          <w:rFonts w:ascii="Palatino Linotype" w:hAnsi="Palatino Linotype"/>
          <w:sz w:val="22"/>
        </w:rPr>
        <w:t xml:space="preserve">Por </w:t>
      </w:r>
      <w:r w:rsidR="00517539" w:rsidRPr="0070772A">
        <w:rPr>
          <w:rFonts w:ascii="Palatino Linotype" w:hAnsi="Palatino Linotype"/>
          <w:sz w:val="22"/>
        </w:rPr>
        <w:t xml:space="preserve">fim, </w:t>
      </w:r>
      <w:r w:rsidRPr="0070772A">
        <w:rPr>
          <w:rFonts w:ascii="Palatino Linotype" w:hAnsi="Palatino Linotype"/>
          <w:sz w:val="22"/>
        </w:rPr>
        <w:t xml:space="preserve">na </w:t>
      </w:r>
      <w:r w:rsidR="00517539" w:rsidRPr="0070772A">
        <w:rPr>
          <w:rFonts w:ascii="Palatino Linotype" w:hAnsi="Palatino Linotype"/>
          <w:sz w:val="22"/>
        </w:rPr>
        <w:t>T</w:t>
      </w:r>
      <w:r w:rsidR="00A94229" w:rsidRPr="0070772A">
        <w:rPr>
          <w:rFonts w:ascii="Palatino Linotype" w:hAnsi="Palatino Linotype"/>
          <w:sz w:val="22"/>
        </w:rPr>
        <w:t>abela 6</w:t>
      </w:r>
      <w:r w:rsidR="00517539" w:rsidRPr="0070772A">
        <w:rPr>
          <w:rFonts w:ascii="Palatino Linotype" w:hAnsi="Palatino Linotype"/>
          <w:sz w:val="22"/>
        </w:rPr>
        <w:t xml:space="preserve"> apresenta-se a similaridade de </w:t>
      </w:r>
      <w:r w:rsidRPr="0070772A">
        <w:rPr>
          <w:rFonts w:ascii="Palatino Linotype" w:hAnsi="Palatino Linotype"/>
          <w:sz w:val="22"/>
        </w:rPr>
        <w:t xml:space="preserve">disciplinas mais avançadas, </w:t>
      </w:r>
      <w:r w:rsidR="00517539" w:rsidRPr="0070772A">
        <w:rPr>
          <w:rFonts w:ascii="Palatino Linotype" w:hAnsi="Palatino Linotype"/>
          <w:sz w:val="22"/>
        </w:rPr>
        <w:t xml:space="preserve">em que </w:t>
      </w:r>
      <w:r w:rsidRPr="0070772A">
        <w:rPr>
          <w:rFonts w:ascii="Palatino Linotype" w:hAnsi="Palatino Linotype"/>
          <w:sz w:val="22"/>
        </w:rPr>
        <w:t xml:space="preserve">também </w:t>
      </w:r>
      <w:r w:rsidR="005F6844" w:rsidRPr="0070772A">
        <w:rPr>
          <w:rFonts w:ascii="Palatino Linotype" w:hAnsi="Palatino Linotype"/>
          <w:sz w:val="22"/>
        </w:rPr>
        <w:t>se encontram</w:t>
      </w:r>
      <w:r w:rsidRPr="0070772A">
        <w:rPr>
          <w:rFonts w:ascii="Palatino Linotype" w:hAnsi="Palatino Linotype"/>
          <w:sz w:val="22"/>
        </w:rPr>
        <w:t xml:space="preserve"> quantidades equilibradas</w:t>
      </w:r>
      <w:r w:rsidR="00517539" w:rsidRPr="0070772A">
        <w:rPr>
          <w:rFonts w:ascii="Palatino Linotype" w:hAnsi="Palatino Linotype"/>
          <w:sz w:val="22"/>
        </w:rPr>
        <w:t>. A</w:t>
      </w:r>
      <w:r w:rsidRPr="0070772A">
        <w:rPr>
          <w:rFonts w:ascii="Palatino Linotype" w:hAnsi="Palatino Linotype"/>
          <w:sz w:val="22"/>
        </w:rPr>
        <w:t xml:space="preserve">s maiores disparidades estão nos estágios, </w:t>
      </w:r>
      <w:r w:rsidR="00517539" w:rsidRPr="0070772A">
        <w:rPr>
          <w:rFonts w:ascii="Palatino Linotype" w:hAnsi="Palatino Linotype"/>
          <w:sz w:val="22"/>
        </w:rPr>
        <w:t xml:space="preserve">sendo que </w:t>
      </w:r>
      <w:r w:rsidRPr="0070772A">
        <w:rPr>
          <w:rFonts w:ascii="Palatino Linotype" w:hAnsi="Palatino Linotype"/>
          <w:sz w:val="22"/>
        </w:rPr>
        <w:t xml:space="preserve">algumas IES incentivam esta prática e outras não possuem </w:t>
      </w:r>
      <w:r w:rsidR="00637FFE" w:rsidRPr="0070772A">
        <w:rPr>
          <w:rFonts w:ascii="Palatino Linotype" w:hAnsi="Palatino Linotype"/>
          <w:sz w:val="22"/>
        </w:rPr>
        <w:t>est</w:t>
      </w:r>
      <w:r w:rsidR="00517539" w:rsidRPr="0070772A">
        <w:rPr>
          <w:rFonts w:ascii="Palatino Linotype" w:hAnsi="Palatino Linotype"/>
          <w:sz w:val="22"/>
        </w:rPr>
        <w:t>a</w:t>
      </w:r>
      <w:r w:rsidRPr="0070772A">
        <w:rPr>
          <w:rFonts w:ascii="Palatino Linotype" w:hAnsi="Palatino Linotype"/>
          <w:sz w:val="22"/>
        </w:rPr>
        <w:t xml:space="preserve"> </w:t>
      </w:r>
      <w:r w:rsidR="00637FFE" w:rsidRPr="0070772A">
        <w:rPr>
          <w:rFonts w:ascii="Palatino Linotype" w:hAnsi="Palatino Linotype"/>
          <w:sz w:val="22"/>
        </w:rPr>
        <w:t>disciplina.</w:t>
      </w:r>
    </w:p>
    <w:p w:rsidR="00517539" w:rsidRPr="0070772A" w:rsidRDefault="00517539" w:rsidP="00BE160E">
      <w:pPr>
        <w:autoSpaceDE w:val="0"/>
        <w:autoSpaceDN w:val="0"/>
        <w:adjustRightInd w:val="0"/>
        <w:rPr>
          <w:rFonts w:ascii="Palatino Linotype" w:hAnsi="Palatino Linotype"/>
          <w:sz w:val="22"/>
        </w:rPr>
      </w:pPr>
    </w:p>
    <w:p w:rsidR="00517539" w:rsidRPr="0070772A" w:rsidRDefault="00517539" w:rsidP="00BE160E">
      <w:pPr>
        <w:ind w:firstLine="0"/>
        <w:jc w:val="center"/>
        <w:rPr>
          <w:rFonts w:ascii="Palatino Linotype" w:hAnsi="Palatino Linotype"/>
          <w:b/>
          <w:sz w:val="18"/>
          <w:szCs w:val="18"/>
        </w:rPr>
      </w:pPr>
      <w:r w:rsidRPr="0070772A">
        <w:rPr>
          <w:rFonts w:ascii="Palatino Linotype" w:eastAsia="Times New Roman" w:hAnsi="Palatino Linotype"/>
          <w:b/>
          <w:sz w:val="18"/>
          <w:szCs w:val="18"/>
          <w:lang w:eastAsia="pt-BR"/>
        </w:rPr>
        <w:t xml:space="preserve">Tabela 6 - Áreas de Conhecimento </w:t>
      </w:r>
      <w:r w:rsidR="00A52410" w:rsidRPr="0070772A">
        <w:rPr>
          <w:rFonts w:ascii="Palatino Linotype" w:eastAsia="Times New Roman" w:hAnsi="Palatino Linotype"/>
          <w:b/>
          <w:sz w:val="18"/>
          <w:szCs w:val="18"/>
          <w:lang w:eastAsia="pt-BR"/>
        </w:rPr>
        <w:t>mais frequentes</w:t>
      </w:r>
      <w:r w:rsidRPr="0070772A">
        <w:rPr>
          <w:rFonts w:ascii="Palatino Linotype" w:eastAsia="Times New Roman" w:hAnsi="Palatino Linotype"/>
          <w:b/>
          <w:sz w:val="18"/>
          <w:szCs w:val="18"/>
          <w:lang w:eastAsia="pt-BR"/>
        </w:rPr>
        <w:t xml:space="preserve"> no Bloco Conhecimento (Avançado) em Contabilidade, Finanças e Assuntos Afins</w:t>
      </w:r>
    </w:p>
    <w:tbl>
      <w:tblPr>
        <w:tblW w:w="0" w:type="auto"/>
        <w:tblBorders>
          <w:top w:val="single" w:sz="12" w:space="0" w:color="auto"/>
          <w:bottom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2"/>
        <w:gridCol w:w="389"/>
        <w:gridCol w:w="389"/>
        <w:gridCol w:w="389"/>
        <w:gridCol w:w="389"/>
        <w:gridCol w:w="389"/>
        <w:gridCol w:w="389"/>
        <w:gridCol w:w="389"/>
        <w:gridCol w:w="389"/>
        <w:gridCol w:w="389"/>
        <w:gridCol w:w="389"/>
        <w:gridCol w:w="389"/>
        <w:gridCol w:w="389"/>
        <w:gridCol w:w="389"/>
        <w:gridCol w:w="389"/>
        <w:gridCol w:w="389"/>
        <w:gridCol w:w="389"/>
        <w:gridCol w:w="410"/>
        <w:gridCol w:w="455"/>
      </w:tblGrid>
      <w:tr w:rsidR="0070772A" w:rsidRPr="0070772A" w:rsidTr="009B5772">
        <w:trPr>
          <w:cantSplit/>
          <w:trHeight w:val="1304"/>
        </w:trPr>
        <w:tc>
          <w:tcPr>
            <w:tcW w:w="1982"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Subáreas</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FURB</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CATOL</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UNISUL</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UNOESC</w:t>
            </w:r>
          </w:p>
        </w:tc>
        <w:tc>
          <w:tcPr>
            <w:tcW w:w="340"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UNOCHAP</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UNIVILLE</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USJ</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UNIVALI</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UNIFEBE</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UDESC</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UNC</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UNESC</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UNIARP</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UNIBAVE</w:t>
            </w:r>
          </w:p>
        </w:tc>
        <w:tc>
          <w:tcPr>
            <w:tcW w:w="389" w:type="dxa"/>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UNIDAVI</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UNIPLAC</w:t>
            </w:r>
          </w:p>
        </w:tc>
        <w:tc>
          <w:tcPr>
            <w:tcW w:w="0" w:type="auto"/>
            <w:shd w:val="clear" w:color="auto" w:fill="auto"/>
            <w:noWrap/>
            <w:textDirection w:val="btLr"/>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Total</w:t>
            </w:r>
          </w:p>
        </w:tc>
        <w:tc>
          <w:tcPr>
            <w:tcW w:w="0" w:type="auto"/>
            <w:shd w:val="clear" w:color="auto" w:fill="auto"/>
            <w:noWrap/>
            <w:textDirection w:val="btLr"/>
            <w:vAlign w:val="center"/>
            <w:hideMark/>
          </w:tcPr>
          <w:p w:rsidR="00637FFE" w:rsidRPr="0070772A" w:rsidRDefault="00A94229"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Frequência (%)</w:t>
            </w:r>
          </w:p>
        </w:tc>
      </w:tr>
      <w:tr w:rsidR="009B5772" w:rsidRPr="0070772A" w:rsidTr="009B5772">
        <w:trPr>
          <w:trHeight w:val="170"/>
        </w:trPr>
        <w:tc>
          <w:tcPr>
            <w:tcW w:w="1982" w:type="dxa"/>
            <w:shd w:val="clear" w:color="auto" w:fill="auto"/>
            <w:noWrap/>
            <w:hideMark/>
          </w:tcPr>
          <w:p w:rsidR="00C868A2" w:rsidRPr="0070772A" w:rsidRDefault="00C868A2" w:rsidP="00BE160E">
            <w:pPr>
              <w:pStyle w:val="Textodocorpo20"/>
              <w:tabs>
                <w:tab w:val="left" w:pos="192"/>
              </w:tabs>
              <w:spacing w:after="0" w:line="240" w:lineRule="auto"/>
              <w:jc w:val="left"/>
              <w:rPr>
                <w:sz w:val="18"/>
                <w:szCs w:val="18"/>
                <w:lang w:val="pt-BR" w:eastAsia="pt-BR"/>
              </w:rPr>
            </w:pPr>
            <w:r w:rsidRPr="0070772A">
              <w:rPr>
                <w:rStyle w:val="Textodocorpo285pt"/>
                <w:rFonts w:cs="Times New Roman"/>
                <w:color w:val="auto"/>
                <w:sz w:val="18"/>
                <w:szCs w:val="18"/>
              </w:rPr>
              <w:t xml:space="preserve">4.1 Demonstrações financeiras avançadas e Contabilidade </w:t>
            </w:r>
            <w:r w:rsidRPr="0070772A">
              <w:rPr>
                <w:rStyle w:val="Textodocorpo285pt"/>
                <w:rFonts w:cs="Times New Roman"/>
                <w:color w:val="auto"/>
                <w:sz w:val="18"/>
                <w:szCs w:val="18"/>
                <w:lang w:eastAsia="en-US" w:bidi="en-US"/>
              </w:rPr>
              <w:t>in</w:t>
            </w:r>
            <w:r w:rsidRPr="0070772A">
              <w:rPr>
                <w:rStyle w:val="Textodocorpo285pt"/>
                <w:rFonts w:cs="Times New Roman"/>
                <w:color w:val="auto"/>
                <w:sz w:val="18"/>
                <w:szCs w:val="18"/>
                <w:lang w:eastAsia="en-US" w:bidi="en-US"/>
              </w:rPr>
              <w:softHyphen/>
              <w:t>dustrial;</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15,3</w:t>
            </w:r>
          </w:p>
        </w:tc>
      </w:tr>
      <w:tr w:rsidR="009B5772" w:rsidRPr="0070772A" w:rsidTr="009B5772">
        <w:trPr>
          <w:trHeight w:val="57"/>
        </w:trPr>
        <w:tc>
          <w:tcPr>
            <w:tcW w:w="1982" w:type="dxa"/>
            <w:shd w:val="clear" w:color="auto" w:fill="auto"/>
            <w:noWrap/>
            <w:hideMark/>
          </w:tcPr>
          <w:p w:rsidR="00C868A2" w:rsidRPr="0070772A" w:rsidRDefault="00C868A2" w:rsidP="00BE160E">
            <w:pPr>
              <w:pStyle w:val="Textodocorpo20"/>
              <w:tabs>
                <w:tab w:val="left" w:pos="206"/>
              </w:tabs>
              <w:spacing w:after="0" w:line="240" w:lineRule="auto"/>
              <w:jc w:val="left"/>
              <w:rPr>
                <w:sz w:val="18"/>
                <w:szCs w:val="18"/>
                <w:lang w:val="pt-BR" w:eastAsia="pt-BR"/>
              </w:rPr>
            </w:pPr>
            <w:r w:rsidRPr="0070772A">
              <w:rPr>
                <w:rStyle w:val="Textodocorpo285pt"/>
                <w:rFonts w:cs="Times New Roman"/>
                <w:color w:val="auto"/>
                <w:sz w:val="18"/>
                <w:szCs w:val="18"/>
              </w:rPr>
              <w:t>4.2 Contabilidade gerencial avançada;</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20</w:t>
            </w:r>
          </w:p>
        </w:tc>
      </w:tr>
      <w:tr w:rsidR="009B5772" w:rsidRPr="0070772A" w:rsidTr="009B5772">
        <w:trPr>
          <w:trHeight w:val="57"/>
        </w:trPr>
        <w:tc>
          <w:tcPr>
            <w:tcW w:w="1982" w:type="dxa"/>
            <w:shd w:val="clear" w:color="auto" w:fill="auto"/>
            <w:noWrap/>
            <w:hideMark/>
          </w:tcPr>
          <w:p w:rsidR="00C868A2" w:rsidRPr="0070772A" w:rsidRDefault="00C868A2" w:rsidP="00BE160E">
            <w:pPr>
              <w:pStyle w:val="Textodocorpo20"/>
              <w:tabs>
                <w:tab w:val="left" w:pos="173"/>
              </w:tabs>
              <w:spacing w:after="0" w:line="240" w:lineRule="auto"/>
              <w:jc w:val="left"/>
              <w:rPr>
                <w:sz w:val="18"/>
                <w:szCs w:val="18"/>
                <w:lang w:val="pt-BR" w:eastAsia="pt-BR"/>
              </w:rPr>
            </w:pPr>
            <w:r w:rsidRPr="0070772A">
              <w:rPr>
                <w:rStyle w:val="Textodocorpo285pt"/>
                <w:rFonts w:cs="Times New Roman"/>
                <w:color w:val="auto"/>
                <w:sz w:val="18"/>
                <w:szCs w:val="18"/>
              </w:rPr>
              <w:t>4.3 Tributação avançada;</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25</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16,8</w:t>
            </w:r>
          </w:p>
        </w:tc>
      </w:tr>
      <w:tr w:rsidR="009B5772" w:rsidRPr="0070772A" w:rsidTr="009B5772">
        <w:trPr>
          <w:trHeight w:val="57"/>
        </w:trPr>
        <w:tc>
          <w:tcPr>
            <w:tcW w:w="1982" w:type="dxa"/>
            <w:shd w:val="clear" w:color="auto" w:fill="auto"/>
            <w:noWrap/>
            <w:hideMark/>
          </w:tcPr>
          <w:p w:rsidR="00C868A2" w:rsidRPr="0070772A" w:rsidRDefault="00C868A2" w:rsidP="00BE160E">
            <w:pPr>
              <w:pStyle w:val="Textodocorpo20"/>
              <w:tabs>
                <w:tab w:val="left" w:pos="211"/>
              </w:tabs>
              <w:spacing w:after="0" w:line="240" w:lineRule="auto"/>
              <w:jc w:val="left"/>
              <w:rPr>
                <w:sz w:val="18"/>
                <w:szCs w:val="18"/>
                <w:lang w:val="pt-BR" w:eastAsia="pt-BR"/>
              </w:rPr>
            </w:pPr>
            <w:r w:rsidRPr="0070772A">
              <w:rPr>
                <w:rStyle w:val="Textodocorpo285pt"/>
                <w:rFonts w:cs="Times New Roman"/>
                <w:color w:val="auto"/>
                <w:sz w:val="18"/>
                <w:szCs w:val="18"/>
              </w:rPr>
              <w:t>4.4 Direito empresarial avan</w:t>
            </w:r>
            <w:r w:rsidRPr="0070772A">
              <w:rPr>
                <w:rStyle w:val="Textodocorpo285pt"/>
                <w:rFonts w:cs="Times New Roman"/>
                <w:color w:val="auto"/>
                <w:sz w:val="18"/>
                <w:szCs w:val="18"/>
              </w:rPr>
              <w:softHyphen/>
              <w:t>çado;</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26</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17,3</w:t>
            </w:r>
          </w:p>
        </w:tc>
      </w:tr>
      <w:tr w:rsidR="009B5772" w:rsidRPr="0070772A" w:rsidTr="009B5772">
        <w:trPr>
          <w:trHeight w:val="57"/>
        </w:trPr>
        <w:tc>
          <w:tcPr>
            <w:tcW w:w="1982" w:type="dxa"/>
            <w:shd w:val="clear" w:color="auto" w:fill="auto"/>
            <w:noWrap/>
            <w:hideMark/>
          </w:tcPr>
          <w:p w:rsidR="00C868A2" w:rsidRPr="0070772A" w:rsidRDefault="00C868A2" w:rsidP="00BE160E">
            <w:pPr>
              <w:pStyle w:val="Textodocorpo20"/>
              <w:tabs>
                <w:tab w:val="left" w:pos="192"/>
              </w:tabs>
              <w:spacing w:after="0" w:line="240" w:lineRule="auto"/>
              <w:jc w:val="left"/>
              <w:rPr>
                <w:sz w:val="18"/>
                <w:szCs w:val="18"/>
                <w:lang w:val="pt-BR" w:eastAsia="pt-BR"/>
              </w:rPr>
            </w:pPr>
            <w:r w:rsidRPr="0070772A">
              <w:rPr>
                <w:rStyle w:val="Textodocorpo285pt"/>
                <w:rFonts w:cs="Times New Roman"/>
                <w:color w:val="auto"/>
                <w:sz w:val="18"/>
                <w:szCs w:val="18"/>
              </w:rPr>
              <w:t>4.5 Auditoria avançada;</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26</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17,3</w:t>
            </w:r>
          </w:p>
        </w:tc>
      </w:tr>
      <w:tr w:rsidR="009B5772" w:rsidRPr="0070772A" w:rsidTr="009B5772">
        <w:trPr>
          <w:trHeight w:val="57"/>
        </w:trPr>
        <w:tc>
          <w:tcPr>
            <w:tcW w:w="1982" w:type="dxa"/>
            <w:shd w:val="clear" w:color="auto" w:fill="auto"/>
            <w:noWrap/>
            <w:hideMark/>
          </w:tcPr>
          <w:p w:rsidR="00C868A2" w:rsidRPr="0070772A" w:rsidRDefault="00C868A2" w:rsidP="00BE160E">
            <w:pPr>
              <w:pStyle w:val="Textodocorpo20"/>
              <w:tabs>
                <w:tab w:val="left" w:pos="158"/>
              </w:tabs>
              <w:spacing w:after="0" w:line="240" w:lineRule="auto"/>
              <w:jc w:val="left"/>
              <w:rPr>
                <w:sz w:val="18"/>
                <w:szCs w:val="18"/>
                <w:lang w:val="pt-BR" w:eastAsia="pt-BR"/>
              </w:rPr>
            </w:pPr>
            <w:r w:rsidRPr="0070772A">
              <w:rPr>
                <w:rStyle w:val="Textodocorpo285pt"/>
                <w:rFonts w:cs="Times New Roman"/>
                <w:color w:val="auto"/>
                <w:sz w:val="18"/>
                <w:szCs w:val="18"/>
              </w:rPr>
              <w:t>4.6 Finanças empresariais avan</w:t>
            </w:r>
            <w:r w:rsidRPr="0070772A">
              <w:rPr>
                <w:rStyle w:val="Textodocorpo285pt"/>
                <w:rFonts w:cs="Times New Roman"/>
                <w:color w:val="auto"/>
                <w:sz w:val="18"/>
                <w:szCs w:val="18"/>
              </w:rPr>
              <w:softHyphen/>
              <w:t>çadas e Administração finan</w:t>
            </w:r>
            <w:r w:rsidRPr="0070772A">
              <w:rPr>
                <w:rStyle w:val="Textodocorpo285pt"/>
                <w:rFonts w:cs="Times New Roman"/>
                <w:color w:val="auto"/>
                <w:sz w:val="18"/>
                <w:szCs w:val="18"/>
              </w:rPr>
              <w:softHyphen/>
              <w:t>ceira;</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4</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40"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3</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4</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0</w:t>
            </w:r>
          </w:p>
        </w:tc>
        <w:tc>
          <w:tcPr>
            <w:tcW w:w="389" w:type="dxa"/>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4</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20</w:t>
            </w:r>
          </w:p>
        </w:tc>
        <w:tc>
          <w:tcPr>
            <w:tcW w:w="0" w:type="auto"/>
            <w:shd w:val="clear" w:color="auto" w:fill="auto"/>
            <w:noWrap/>
            <w:vAlign w:val="center"/>
            <w:hideMark/>
          </w:tcPr>
          <w:p w:rsidR="00C868A2" w:rsidRPr="0070772A" w:rsidRDefault="00C868A2"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13,3</w:t>
            </w:r>
          </w:p>
        </w:tc>
      </w:tr>
      <w:tr w:rsidR="009B5772" w:rsidRPr="0070772A" w:rsidTr="009B5772">
        <w:trPr>
          <w:trHeight w:val="57"/>
        </w:trPr>
        <w:tc>
          <w:tcPr>
            <w:tcW w:w="1982" w:type="dxa"/>
            <w:shd w:val="clear" w:color="auto" w:fill="auto"/>
            <w:noWrap/>
            <w:vAlign w:val="bottom"/>
            <w:hideMark/>
          </w:tcPr>
          <w:p w:rsidR="00637FFE" w:rsidRPr="0070772A" w:rsidRDefault="00637FFE" w:rsidP="00BE160E">
            <w:pPr>
              <w:ind w:firstLine="0"/>
              <w:jc w:val="left"/>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Total</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13</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10</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7</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9</w:t>
            </w:r>
          </w:p>
        </w:tc>
        <w:tc>
          <w:tcPr>
            <w:tcW w:w="340"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12</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8</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10</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8</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10</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13</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10</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6</w:t>
            </w:r>
          </w:p>
        </w:tc>
        <w:tc>
          <w:tcPr>
            <w:tcW w:w="389" w:type="dxa"/>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10</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12</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150</w:t>
            </w:r>
          </w:p>
        </w:tc>
        <w:tc>
          <w:tcPr>
            <w:tcW w:w="0" w:type="auto"/>
            <w:shd w:val="clear" w:color="auto" w:fill="auto"/>
            <w:noWrap/>
            <w:vAlign w:val="center"/>
            <w:hideMark/>
          </w:tcPr>
          <w:p w:rsidR="00637FFE" w:rsidRPr="0070772A" w:rsidRDefault="00637FFE" w:rsidP="00BE160E">
            <w:pPr>
              <w:ind w:firstLine="0"/>
              <w:jc w:val="center"/>
              <w:rPr>
                <w:rFonts w:ascii="Palatino Linotype" w:eastAsia="Times New Roman" w:hAnsi="Palatino Linotype"/>
                <w:sz w:val="18"/>
                <w:szCs w:val="18"/>
                <w:lang w:eastAsia="pt-BR"/>
              </w:rPr>
            </w:pPr>
            <w:r w:rsidRPr="0070772A">
              <w:rPr>
                <w:rFonts w:ascii="Palatino Linotype" w:eastAsia="Times New Roman" w:hAnsi="Palatino Linotype"/>
                <w:sz w:val="18"/>
                <w:szCs w:val="18"/>
                <w:lang w:eastAsia="pt-BR"/>
              </w:rPr>
              <w:t>100</w:t>
            </w:r>
          </w:p>
        </w:tc>
      </w:tr>
    </w:tbl>
    <w:p w:rsidR="00517539" w:rsidRPr="0070772A" w:rsidRDefault="00517539" w:rsidP="00BE160E">
      <w:pPr>
        <w:ind w:firstLine="0"/>
        <w:rPr>
          <w:rFonts w:ascii="Palatino Linotype" w:hAnsi="Palatino Linotype"/>
          <w:sz w:val="18"/>
          <w:szCs w:val="18"/>
        </w:rPr>
      </w:pPr>
      <w:r w:rsidRPr="0070772A">
        <w:rPr>
          <w:rFonts w:ascii="Palatino Linotype" w:hAnsi="Palatino Linotype"/>
          <w:sz w:val="18"/>
          <w:szCs w:val="18"/>
        </w:rPr>
        <w:t>Fonte: dados da pesquisa.</w:t>
      </w:r>
    </w:p>
    <w:p w:rsidR="00517539" w:rsidRPr="0070772A" w:rsidRDefault="00517539" w:rsidP="00BE160E">
      <w:pPr>
        <w:autoSpaceDE w:val="0"/>
        <w:autoSpaceDN w:val="0"/>
        <w:adjustRightInd w:val="0"/>
        <w:rPr>
          <w:rFonts w:ascii="Palatino Linotype" w:hAnsi="Palatino Linotype"/>
          <w:sz w:val="22"/>
        </w:rPr>
      </w:pPr>
    </w:p>
    <w:p w:rsidR="009E612C" w:rsidRPr="0070772A" w:rsidRDefault="002545D0" w:rsidP="00BE160E">
      <w:pPr>
        <w:autoSpaceDE w:val="0"/>
        <w:autoSpaceDN w:val="0"/>
        <w:adjustRightInd w:val="0"/>
        <w:rPr>
          <w:rFonts w:ascii="Palatino Linotype" w:hAnsi="Palatino Linotype"/>
          <w:sz w:val="22"/>
        </w:rPr>
      </w:pPr>
      <w:r w:rsidRPr="0070772A">
        <w:rPr>
          <w:rFonts w:ascii="Palatino Linotype" w:hAnsi="Palatino Linotype"/>
          <w:sz w:val="22"/>
        </w:rPr>
        <w:t>N</w:t>
      </w:r>
      <w:r w:rsidR="000C6792" w:rsidRPr="0070772A">
        <w:rPr>
          <w:rFonts w:ascii="Palatino Linotype" w:hAnsi="Palatino Linotype"/>
          <w:sz w:val="22"/>
        </w:rPr>
        <w:t xml:space="preserve">a Tabela 6 </w:t>
      </w:r>
      <w:r w:rsidRPr="0070772A">
        <w:rPr>
          <w:rFonts w:ascii="Palatino Linotype" w:hAnsi="Palatino Linotype"/>
          <w:sz w:val="22"/>
        </w:rPr>
        <w:t xml:space="preserve">também se oberva </w:t>
      </w:r>
      <w:r w:rsidR="006A4C69" w:rsidRPr="0070772A">
        <w:rPr>
          <w:rFonts w:ascii="Palatino Linotype" w:hAnsi="Palatino Linotype"/>
          <w:sz w:val="22"/>
        </w:rPr>
        <w:t xml:space="preserve">maior similaridade das disciplinas das instituições com o Currículo Mundial. </w:t>
      </w:r>
      <w:r w:rsidR="00B279F2" w:rsidRPr="0070772A">
        <w:rPr>
          <w:rFonts w:ascii="Palatino Linotype" w:hAnsi="Palatino Linotype"/>
          <w:sz w:val="22"/>
        </w:rPr>
        <w:t>Desta maneira</w:t>
      </w:r>
      <w:r w:rsidR="000C6792" w:rsidRPr="0070772A">
        <w:rPr>
          <w:rFonts w:ascii="Palatino Linotype" w:hAnsi="Palatino Linotype"/>
          <w:sz w:val="22"/>
        </w:rPr>
        <w:t>,</w:t>
      </w:r>
      <w:r w:rsidR="00B279F2" w:rsidRPr="0070772A">
        <w:rPr>
          <w:rFonts w:ascii="Palatino Linotype" w:hAnsi="Palatino Linotype"/>
          <w:sz w:val="22"/>
        </w:rPr>
        <w:t xml:space="preserve"> evidencia</w:t>
      </w:r>
      <w:r w:rsidR="000C6792" w:rsidRPr="0070772A">
        <w:rPr>
          <w:rFonts w:ascii="Palatino Linotype" w:hAnsi="Palatino Linotype"/>
          <w:sz w:val="22"/>
        </w:rPr>
        <w:t>-</w:t>
      </w:r>
      <w:r w:rsidR="00B279F2" w:rsidRPr="0070772A">
        <w:rPr>
          <w:rFonts w:ascii="Palatino Linotype" w:hAnsi="Palatino Linotype"/>
          <w:sz w:val="22"/>
        </w:rPr>
        <w:t>s</w:t>
      </w:r>
      <w:r w:rsidR="000C6792" w:rsidRPr="0070772A">
        <w:rPr>
          <w:rFonts w:ascii="Palatino Linotype" w:hAnsi="Palatino Linotype"/>
          <w:sz w:val="22"/>
        </w:rPr>
        <w:t>e</w:t>
      </w:r>
      <w:r w:rsidR="00B279F2" w:rsidRPr="0070772A">
        <w:rPr>
          <w:rFonts w:ascii="Palatino Linotype" w:hAnsi="Palatino Linotype"/>
          <w:sz w:val="22"/>
        </w:rPr>
        <w:t xml:space="preserve"> </w:t>
      </w:r>
      <w:r w:rsidR="001B27E4" w:rsidRPr="0070772A">
        <w:rPr>
          <w:rFonts w:ascii="Palatino Linotype" w:hAnsi="Palatino Linotype"/>
          <w:sz w:val="22"/>
        </w:rPr>
        <w:t>que as</w:t>
      </w:r>
      <w:r w:rsidR="00B279F2" w:rsidRPr="0070772A">
        <w:rPr>
          <w:rFonts w:ascii="Palatino Linotype" w:hAnsi="Palatino Linotype"/>
          <w:sz w:val="22"/>
        </w:rPr>
        <w:t xml:space="preserve"> </w:t>
      </w:r>
      <w:r w:rsidR="000C6792" w:rsidRPr="0070772A">
        <w:rPr>
          <w:rFonts w:ascii="Palatino Linotype" w:hAnsi="Palatino Linotype"/>
          <w:sz w:val="22"/>
        </w:rPr>
        <w:t xml:space="preserve">disciplinas </w:t>
      </w:r>
      <w:r w:rsidR="00B279F2" w:rsidRPr="0070772A">
        <w:rPr>
          <w:rFonts w:ascii="Palatino Linotype" w:hAnsi="Palatino Linotype"/>
          <w:sz w:val="22"/>
        </w:rPr>
        <w:t xml:space="preserve">primordiais são as mais </w:t>
      </w:r>
      <w:r w:rsidR="00B279F2" w:rsidRPr="0070772A">
        <w:rPr>
          <w:rFonts w:ascii="Palatino Linotype" w:hAnsi="Palatino Linotype"/>
          <w:sz w:val="22"/>
        </w:rPr>
        <w:lastRenderedPageBreak/>
        <w:t xml:space="preserve">equivalentes nas instituições, o que </w:t>
      </w:r>
      <w:r w:rsidR="005F6844" w:rsidRPr="0070772A">
        <w:rPr>
          <w:rFonts w:ascii="Palatino Linotype" w:hAnsi="Palatino Linotype"/>
          <w:sz w:val="22"/>
        </w:rPr>
        <w:t>confirma a</w:t>
      </w:r>
      <w:r w:rsidR="000C6792" w:rsidRPr="0070772A">
        <w:rPr>
          <w:rFonts w:ascii="Palatino Linotype" w:hAnsi="Palatino Linotype"/>
          <w:sz w:val="22"/>
        </w:rPr>
        <w:t xml:space="preserve"> adoção por parte das IES investigadas de um </w:t>
      </w:r>
      <w:r w:rsidR="00B279F2" w:rsidRPr="0070772A">
        <w:rPr>
          <w:rFonts w:ascii="Palatino Linotype" w:hAnsi="Palatino Linotype"/>
          <w:sz w:val="22"/>
        </w:rPr>
        <w:t>modelo misto, pois as instituições se baseiam no Currículo Mundial</w:t>
      </w:r>
      <w:r w:rsidR="001B27E4" w:rsidRPr="0070772A">
        <w:rPr>
          <w:rFonts w:ascii="Palatino Linotype" w:hAnsi="Palatino Linotype"/>
          <w:sz w:val="22"/>
        </w:rPr>
        <w:t xml:space="preserve"> para a base de conteúdo</w:t>
      </w:r>
      <w:r w:rsidR="000C6792" w:rsidRPr="0070772A">
        <w:rPr>
          <w:rFonts w:ascii="Palatino Linotype" w:hAnsi="Palatino Linotype"/>
          <w:sz w:val="22"/>
        </w:rPr>
        <w:t xml:space="preserve"> específico</w:t>
      </w:r>
      <w:r w:rsidR="001B27E4" w:rsidRPr="0070772A">
        <w:rPr>
          <w:rFonts w:ascii="Palatino Linotype" w:hAnsi="Palatino Linotype"/>
          <w:sz w:val="22"/>
        </w:rPr>
        <w:t>, independente da região em que a instituição está inserida. No entanto</w:t>
      </w:r>
      <w:r w:rsidR="000C6792" w:rsidRPr="0070772A">
        <w:rPr>
          <w:rFonts w:ascii="Palatino Linotype" w:hAnsi="Palatino Linotype"/>
          <w:sz w:val="22"/>
        </w:rPr>
        <w:t>,</w:t>
      </w:r>
      <w:r w:rsidR="001B27E4" w:rsidRPr="0070772A">
        <w:rPr>
          <w:rFonts w:ascii="Palatino Linotype" w:hAnsi="Palatino Linotype"/>
          <w:sz w:val="22"/>
        </w:rPr>
        <w:t xml:space="preserve"> as demais disciplinas são flexíveis, sendo reguladas pelas próprias instituições de ensino.</w:t>
      </w:r>
    </w:p>
    <w:p w:rsidR="00EC5BBB" w:rsidRPr="0070772A" w:rsidRDefault="00EC5BBB" w:rsidP="00BE160E">
      <w:pPr>
        <w:autoSpaceDE w:val="0"/>
        <w:autoSpaceDN w:val="0"/>
        <w:adjustRightInd w:val="0"/>
        <w:rPr>
          <w:rFonts w:ascii="Palatino Linotype" w:hAnsi="Palatino Linotype"/>
          <w:sz w:val="22"/>
        </w:rPr>
      </w:pPr>
    </w:p>
    <w:p w:rsidR="00533C15" w:rsidRPr="0070772A" w:rsidRDefault="001558A1" w:rsidP="00FE7B0E">
      <w:pPr>
        <w:pStyle w:val="Ttulo1"/>
        <w:spacing w:before="0"/>
        <w:ind w:left="0" w:firstLine="0"/>
        <w:rPr>
          <w:rFonts w:ascii="Palatino Linotype" w:hAnsi="Palatino Linotype"/>
          <w:sz w:val="22"/>
          <w:szCs w:val="22"/>
        </w:rPr>
      </w:pPr>
      <w:r w:rsidRPr="0070772A">
        <w:rPr>
          <w:rFonts w:ascii="Palatino Linotype" w:hAnsi="Palatino Linotype"/>
          <w:caps w:val="0"/>
          <w:sz w:val="22"/>
          <w:szCs w:val="22"/>
          <w:lang w:val="pt-BR"/>
        </w:rPr>
        <w:t>C</w:t>
      </w:r>
      <w:r w:rsidRPr="0070772A">
        <w:rPr>
          <w:rFonts w:ascii="Palatino Linotype" w:hAnsi="Palatino Linotype"/>
          <w:caps w:val="0"/>
          <w:sz w:val="22"/>
          <w:szCs w:val="22"/>
        </w:rPr>
        <w:t>ONSIDERAÇÕES FINAIS</w:t>
      </w:r>
    </w:p>
    <w:p w:rsidR="001D5968" w:rsidRPr="0070772A" w:rsidRDefault="001D5968" w:rsidP="00BE160E">
      <w:pPr>
        <w:rPr>
          <w:rFonts w:ascii="Palatino Linotype" w:hAnsi="Palatino Linotype"/>
          <w:sz w:val="22"/>
        </w:rPr>
      </w:pPr>
    </w:p>
    <w:p w:rsidR="00F92107" w:rsidRPr="0070772A" w:rsidRDefault="00F92107" w:rsidP="00BE160E">
      <w:pPr>
        <w:rPr>
          <w:rFonts w:ascii="Palatino Linotype" w:hAnsi="Palatino Linotype"/>
          <w:sz w:val="22"/>
        </w:rPr>
      </w:pPr>
      <w:r w:rsidRPr="0070772A">
        <w:rPr>
          <w:rFonts w:ascii="Palatino Linotype" w:hAnsi="Palatino Linotype"/>
          <w:sz w:val="22"/>
        </w:rPr>
        <w:t xml:space="preserve">O estudo teve o objetivo comparar a adequação </w:t>
      </w:r>
      <w:r w:rsidR="000C6792" w:rsidRPr="0070772A">
        <w:rPr>
          <w:rFonts w:ascii="Palatino Linotype" w:hAnsi="Palatino Linotype"/>
          <w:sz w:val="22"/>
        </w:rPr>
        <w:t xml:space="preserve">das matrizes curriculares dos cursos de Ciências Contábeis com a matriz curricular proposta pela </w:t>
      </w:r>
      <w:r w:rsidRPr="0070772A">
        <w:rPr>
          <w:rFonts w:ascii="Palatino Linotype" w:hAnsi="Palatino Linotype"/>
          <w:sz w:val="22"/>
        </w:rPr>
        <w:t xml:space="preserve">ONU/UNCTAD/ISAR. </w:t>
      </w:r>
      <w:r w:rsidR="000C6792" w:rsidRPr="0070772A">
        <w:rPr>
          <w:rFonts w:ascii="Palatino Linotype" w:hAnsi="Palatino Linotype"/>
          <w:sz w:val="22"/>
        </w:rPr>
        <w:t>Para tal</w:t>
      </w:r>
      <w:r w:rsidRPr="0070772A">
        <w:rPr>
          <w:rFonts w:ascii="Palatino Linotype" w:hAnsi="Palatino Linotype"/>
          <w:sz w:val="22"/>
        </w:rPr>
        <w:t>,</w:t>
      </w:r>
      <w:r w:rsidR="00A84D52" w:rsidRPr="0070772A">
        <w:rPr>
          <w:rFonts w:ascii="Palatino Linotype" w:hAnsi="Palatino Linotype"/>
          <w:sz w:val="22"/>
        </w:rPr>
        <w:t xml:space="preserve"> </w:t>
      </w:r>
      <w:r w:rsidRPr="0070772A">
        <w:rPr>
          <w:rFonts w:ascii="Palatino Linotype" w:hAnsi="Palatino Linotype"/>
          <w:sz w:val="22"/>
        </w:rPr>
        <w:t xml:space="preserve">adotou-se uma pesquisa descritiva, com análise documental </w:t>
      </w:r>
      <w:r w:rsidR="000C6792" w:rsidRPr="0070772A">
        <w:rPr>
          <w:rFonts w:ascii="Palatino Linotype" w:hAnsi="Palatino Linotype"/>
          <w:sz w:val="22"/>
        </w:rPr>
        <w:t xml:space="preserve">a partir </w:t>
      </w:r>
      <w:r w:rsidRPr="0070772A">
        <w:rPr>
          <w:rFonts w:ascii="Palatino Linotype" w:hAnsi="Palatino Linotype"/>
          <w:sz w:val="22"/>
        </w:rPr>
        <w:t>de dados provenientes d</w:t>
      </w:r>
      <w:r w:rsidR="000C6792" w:rsidRPr="0070772A">
        <w:rPr>
          <w:rFonts w:ascii="Palatino Linotype" w:hAnsi="Palatino Linotype"/>
          <w:sz w:val="22"/>
        </w:rPr>
        <w:t xml:space="preserve">as matrizes curriculares </w:t>
      </w:r>
      <w:r w:rsidRPr="0070772A">
        <w:rPr>
          <w:rFonts w:ascii="Palatino Linotype" w:hAnsi="Palatino Linotype"/>
          <w:sz w:val="22"/>
        </w:rPr>
        <w:t>das instituições de ensino</w:t>
      </w:r>
      <w:r w:rsidR="00402C94" w:rsidRPr="0070772A">
        <w:rPr>
          <w:rFonts w:ascii="Palatino Linotype" w:hAnsi="Palatino Linotype"/>
          <w:sz w:val="22"/>
        </w:rPr>
        <w:t xml:space="preserve"> </w:t>
      </w:r>
      <w:r w:rsidR="000C6792" w:rsidRPr="0070772A">
        <w:rPr>
          <w:rFonts w:ascii="Palatino Linotype" w:hAnsi="Palatino Linotype"/>
          <w:sz w:val="22"/>
        </w:rPr>
        <w:t xml:space="preserve">filiadas à </w:t>
      </w:r>
      <w:r w:rsidR="00402C94" w:rsidRPr="0070772A">
        <w:rPr>
          <w:rFonts w:ascii="Palatino Linotype" w:hAnsi="Palatino Linotype"/>
          <w:sz w:val="22"/>
        </w:rPr>
        <w:t>ACAFE</w:t>
      </w:r>
      <w:r w:rsidRPr="0070772A">
        <w:rPr>
          <w:rFonts w:ascii="Palatino Linotype" w:hAnsi="Palatino Linotype"/>
          <w:sz w:val="22"/>
        </w:rPr>
        <w:t xml:space="preserve">. A abordagem foi qualitativa, com a utilização de análise conteúdo para responder </w:t>
      </w:r>
      <w:r w:rsidR="00F54D13" w:rsidRPr="0070772A">
        <w:rPr>
          <w:rFonts w:ascii="Palatino Linotype" w:hAnsi="Palatino Linotype"/>
          <w:sz w:val="22"/>
        </w:rPr>
        <w:t>à</w:t>
      </w:r>
      <w:r w:rsidRPr="0070772A">
        <w:rPr>
          <w:rFonts w:ascii="Palatino Linotype" w:hAnsi="Palatino Linotype"/>
          <w:sz w:val="22"/>
        </w:rPr>
        <w:t xml:space="preserve"> questão de pesquisa.</w:t>
      </w:r>
    </w:p>
    <w:p w:rsidR="00EA5578" w:rsidRPr="0070772A" w:rsidRDefault="00EA5578" w:rsidP="00BE160E">
      <w:pPr>
        <w:rPr>
          <w:rFonts w:ascii="Palatino Linotype" w:hAnsi="Palatino Linotype"/>
          <w:sz w:val="22"/>
        </w:rPr>
      </w:pPr>
      <w:r w:rsidRPr="0070772A">
        <w:rPr>
          <w:rFonts w:ascii="Palatino Linotype" w:hAnsi="Palatino Linotype"/>
          <w:sz w:val="22"/>
        </w:rPr>
        <w:t>Como resultado, c</w:t>
      </w:r>
      <w:r w:rsidR="00AF1A8C" w:rsidRPr="0070772A">
        <w:rPr>
          <w:rFonts w:ascii="Palatino Linotype" w:hAnsi="Palatino Linotype"/>
          <w:sz w:val="22"/>
        </w:rPr>
        <w:t xml:space="preserve">onstatou-se </w:t>
      </w:r>
      <w:r w:rsidR="00BE1003" w:rsidRPr="0070772A">
        <w:rPr>
          <w:rFonts w:ascii="Palatino Linotype" w:hAnsi="Palatino Linotype"/>
          <w:sz w:val="22"/>
        </w:rPr>
        <w:t>que 7 das 16 instituições que fazem parte d</w:t>
      </w:r>
      <w:r w:rsidR="002545D0" w:rsidRPr="0070772A">
        <w:rPr>
          <w:rFonts w:ascii="Palatino Linotype" w:hAnsi="Palatino Linotype"/>
          <w:sz w:val="22"/>
        </w:rPr>
        <w:t xml:space="preserve">o Sistema </w:t>
      </w:r>
      <w:r w:rsidR="00BE1003" w:rsidRPr="0070772A">
        <w:rPr>
          <w:rFonts w:ascii="Palatino Linotype" w:hAnsi="Palatino Linotype"/>
          <w:sz w:val="22"/>
        </w:rPr>
        <w:t xml:space="preserve">ACAFE </w:t>
      </w:r>
      <w:r w:rsidR="002545D0" w:rsidRPr="0070772A">
        <w:rPr>
          <w:rFonts w:ascii="Palatino Linotype" w:hAnsi="Palatino Linotype"/>
          <w:sz w:val="22"/>
        </w:rPr>
        <w:t xml:space="preserve">apresentam </w:t>
      </w:r>
      <w:r w:rsidR="00BE1003" w:rsidRPr="0070772A">
        <w:rPr>
          <w:rFonts w:ascii="Palatino Linotype" w:hAnsi="Palatino Linotype"/>
          <w:sz w:val="22"/>
        </w:rPr>
        <w:t>média</w:t>
      </w:r>
      <w:r w:rsidR="00AF1A8C" w:rsidRPr="0070772A">
        <w:rPr>
          <w:rFonts w:ascii="Palatino Linotype" w:hAnsi="Palatino Linotype"/>
          <w:sz w:val="22"/>
        </w:rPr>
        <w:t xml:space="preserve"> </w:t>
      </w:r>
      <w:r w:rsidR="002545D0" w:rsidRPr="0070772A">
        <w:rPr>
          <w:rFonts w:ascii="Palatino Linotype" w:hAnsi="Palatino Linotype"/>
          <w:sz w:val="22"/>
        </w:rPr>
        <w:t xml:space="preserve">de similaridade </w:t>
      </w:r>
      <w:r w:rsidR="00AF1A8C" w:rsidRPr="0070772A">
        <w:rPr>
          <w:rFonts w:ascii="Palatino Linotype" w:hAnsi="Palatino Linotype"/>
          <w:sz w:val="22"/>
        </w:rPr>
        <w:t>das</w:t>
      </w:r>
      <w:r w:rsidR="00BE1003" w:rsidRPr="0070772A">
        <w:rPr>
          <w:rFonts w:ascii="Palatino Linotype" w:hAnsi="Palatino Linotype"/>
          <w:sz w:val="22"/>
        </w:rPr>
        <w:t xml:space="preserve"> </w:t>
      </w:r>
      <w:r w:rsidR="002545D0" w:rsidRPr="0070772A">
        <w:rPr>
          <w:rFonts w:ascii="Palatino Linotype" w:hAnsi="Palatino Linotype"/>
          <w:sz w:val="22"/>
        </w:rPr>
        <w:t xml:space="preserve">disciplinas </w:t>
      </w:r>
      <w:r w:rsidR="00BE1003" w:rsidRPr="0070772A">
        <w:rPr>
          <w:rFonts w:ascii="Palatino Linotype" w:hAnsi="Palatino Linotype"/>
          <w:sz w:val="22"/>
        </w:rPr>
        <w:t>d</w:t>
      </w:r>
      <w:r w:rsidR="002545D0" w:rsidRPr="0070772A">
        <w:rPr>
          <w:rFonts w:ascii="Palatino Linotype" w:hAnsi="Palatino Linotype"/>
          <w:sz w:val="22"/>
        </w:rPr>
        <w:t>e</w:t>
      </w:r>
      <w:r w:rsidR="00BE1003" w:rsidRPr="0070772A">
        <w:rPr>
          <w:rFonts w:ascii="Palatino Linotype" w:hAnsi="Palatino Linotype"/>
          <w:sz w:val="22"/>
        </w:rPr>
        <w:t xml:space="preserve"> s</w:t>
      </w:r>
      <w:r w:rsidR="002545D0" w:rsidRPr="0070772A">
        <w:rPr>
          <w:rFonts w:ascii="Palatino Linotype" w:hAnsi="Palatino Linotype"/>
          <w:sz w:val="22"/>
        </w:rPr>
        <w:t>ua</w:t>
      </w:r>
      <w:r w:rsidR="00BE1003" w:rsidRPr="0070772A">
        <w:rPr>
          <w:rFonts w:ascii="Palatino Linotype" w:hAnsi="Palatino Linotype"/>
          <w:sz w:val="22"/>
        </w:rPr>
        <w:t xml:space="preserve"> </w:t>
      </w:r>
      <w:r w:rsidR="002545D0" w:rsidRPr="0070772A">
        <w:rPr>
          <w:rFonts w:ascii="Palatino Linotype" w:hAnsi="Palatino Linotype"/>
          <w:sz w:val="22"/>
        </w:rPr>
        <w:t>matriz curricular a</w:t>
      </w:r>
      <w:r w:rsidR="00AF1A8C" w:rsidRPr="0070772A">
        <w:rPr>
          <w:rFonts w:ascii="Palatino Linotype" w:hAnsi="Palatino Linotype"/>
          <w:sz w:val="22"/>
        </w:rPr>
        <w:t>cima da média geral</w:t>
      </w:r>
      <w:r w:rsidR="00BE1003" w:rsidRPr="0070772A">
        <w:rPr>
          <w:rFonts w:ascii="Palatino Linotype" w:hAnsi="Palatino Linotype"/>
          <w:sz w:val="22"/>
        </w:rPr>
        <w:t xml:space="preserve"> em relação ao curríc</w:t>
      </w:r>
      <w:r w:rsidR="00AF1A8C" w:rsidRPr="0070772A">
        <w:rPr>
          <w:rFonts w:ascii="Palatino Linotype" w:hAnsi="Palatino Linotype"/>
          <w:sz w:val="22"/>
        </w:rPr>
        <w:t xml:space="preserve">ulo mundial. Desta forma, </w:t>
      </w:r>
      <w:r w:rsidR="002545D0" w:rsidRPr="0070772A">
        <w:rPr>
          <w:rFonts w:ascii="Palatino Linotype" w:hAnsi="Palatino Linotype"/>
          <w:sz w:val="22"/>
        </w:rPr>
        <w:t xml:space="preserve">conclui-se que </w:t>
      </w:r>
      <w:r w:rsidR="00BE1003" w:rsidRPr="0070772A">
        <w:rPr>
          <w:rFonts w:ascii="Palatino Linotype" w:hAnsi="Palatino Linotype"/>
          <w:sz w:val="22"/>
        </w:rPr>
        <w:t>estas instituições estão mais próximas de uma congruência de seu currículo com o proposto pela ONU/UNCTAD/ISAR</w:t>
      </w:r>
      <w:r w:rsidR="0070772A" w:rsidRPr="0070772A">
        <w:rPr>
          <w:rFonts w:ascii="Palatino Linotype" w:hAnsi="Palatino Linotype"/>
          <w:sz w:val="22"/>
        </w:rPr>
        <w:t>.</w:t>
      </w:r>
    </w:p>
    <w:p w:rsidR="00BE1003" w:rsidRPr="0070772A" w:rsidRDefault="005F6844" w:rsidP="00BE160E">
      <w:pPr>
        <w:rPr>
          <w:rFonts w:ascii="Palatino Linotype" w:hAnsi="Palatino Linotype"/>
          <w:sz w:val="22"/>
        </w:rPr>
      </w:pPr>
      <w:r w:rsidRPr="0070772A">
        <w:rPr>
          <w:rFonts w:ascii="Palatino Linotype" w:hAnsi="Palatino Linotype"/>
          <w:sz w:val="22"/>
        </w:rPr>
        <w:t>Destaca-se</w:t>
      </w:r>
      <w:r w:rsidR="00EA5578" w:rsidRPr="0070772A">
        <w:rPr>
          <w:rFonts w:ascii="Palatino Linotype" w:hAnsi="Palatino Linotype"/>
          <w:sz w:val="22"/>
        </w:rPr>
        <w:t xml:space="preserve"> um</w:t>
      </w:r>
      <w:r w:rsidR="00BE1003" w:rsidRPr="0070772A">
        <w:rPr>
          <w:rFonts w:ascii="Palatino Linotype" w:hAnsi="Palatino Linotype"/>
          <w:sz w:val="22"/>
        </w:rPr>
        <w:t xml:space="preserve"> crescimento nas áreas de Conhecimentos Contábeis, Financeiros e assuntos afins e Conhecimento (avançado) em Contabilidade, Finanças e assuntos afins</w:t>
      </w:r>
      <w:r w:rsidR="00AF1A8C" w:rsidRPr="0070772A">
        <w:rPr>
          <w:rFonts w:ascii="Palatino Linotype" w:hAnsi="Palatino Linotype"/>
          <w:sz w:val="22"/>
        </w:rPr>
        <w:t>.</w:t>
      </w:r>
      <w:r w:rsidR="00EA5578" w:rsidRPr="0070772A">
        <w:rPr>
          <w:rFonts w:ascii="Palatino Linotype" w:hAnsi="Palatino Linotype"/>
          <w:sz w:val="22"/>
        </w:rPr>
        <w:t xml:space="preserve"> </w:t>
      </w:r>
      <w:r w:rsidRPr="0070772A">
        <w:rPr>
          <w:rFonts w:ascii="Palatino Linotype" w:hAnsi="Palatino Linotype"/>
          <w:sz w:val="22"/>
        </w:rPr>
        <w:t>As</w:t>
      </w:r>
      <w:r w:rsidR="00EA5578" w:rsidRPr="0070772A">
        <w:rPr>
          <w:rFonts w:ascii="Palatino Linotype" w:hAnsi="Palatino Linotype"/>
          <w:sz w:val="22"/>
        </w:rPr>
        <w:t xml:space="preserve"> subáreas de políticas empresariais, de estruturas organizacionais básicas e comportamento estão sendo as mais abordadas nas instituições da ACAFE. Os métodos quantitativos e estatísticos são os que mais estão presentes nas matrizes curriculares das instituições. Contatou-se também um aumento nas subáreas de finanças empresariais e gestão financeira e módulo sobre integração do conhecimento. </w:t>
      </w:r>
      <w:r w:rsidR="00AF1A8C" w:rsidRPr="0070772A">
        <w:rPr>
          <w:rFonts w:ascii="Palatino Linotype" w:hAnsi="Palatino Linotype"/>
          <w:sz w:val="22"/>
        </w:rPr>
        <w:t xml:space="preserve"> </w:t>
      </w:r>
    </w:p>
    <w:p w:rsidR="007A4767" w:rsidRPr="0070772A" w:rsidRDefault="007A4767" w:rsidP="00BE160E">
      <w:pPr>
        <w:rPr>
          <w:rFonts w:ascii="Palatino Linotype" w:hAnsi="Palatino Linotype"/>
          <w:sz w:val="22"/>
        </w:rPr>
      </w:pPr>
      <w:r w:rsidRPr="0070772A">
        <w:rPr>
          <w:rFonts w:ascii="Palatino Linotype" w:hAnsi="Palatino Linotype"/>
          <w:sz w:val="22"/>
        </w:rPr>
        <w:t xml:space="preserve">A contribuição do estudo </w:t>
      </w:r>
      <w:r w:rsidR="0015349E" w:rsidRPr="0070772A">
        <w:rPr>
          <w:rFonts w:ascii="Palatino Linotype" w:hAnsi="Palatino Linotype"/>
          <w:sz w:val="22"/>
        </w:rPr>
        <w:t xml:space="preserve">consistiu em </w:t>
      </w:r>
      <w:r w:rsidRPr="0070772A">
        <w:rPr>
          <w:rFonts w:ascii="Palatino Linotype" w:hAnsi="Palatino Linotype"/>
          <w:sz w:val="22"/>
        </w:rPr>
        <w:t>identificar os conteúdos abordados nos cursos de graduação em ciências contábeis d</w:t>
      </w:r>
      <w:r w:rsidR="0015349E" w:rsidRPr="0070772A">
        <w:rPr>
          <w:rFonts w:ascii="Palatino Linotype" w:hAnsi="Palatino Linotype"/>
          <w:sz w:val="22"/>
        </w:rPr>
        <w:t>as IES do S</w:t>
      </w:r>
      <w:r w:rsidRPr="0070772A">
        <w:rPr>
          <w:rFonts w:ascii="Palatino Linotype" w:hAnsi="Palatino Linotype"/>
          <w:sz w:val="22"/>
        </w:rPr>
        <w:t>istema ACAFE e observar o nível de similaridade das estruturas curriculares em relação ao currículo mundial.</w:t>
      </w:r>
    </w:p>
    <w:p w:rsidR="00C9688F" w:rsidRPr="0070772A" w:rsidRDefault="00AA7A16" w:rsidP="00BE160E">
      <w:pPr>
        <w:rPr>
          <w:rFonts w:ascii="Palatino Linotype" w:hAnsi="Palatino Linotype"/>
          <w:sz w:val="22"/>
        </w:rPr>
      </w:pPr>
      <w:r w:rsidRPr="0070772A">
        <w:rPr>
          <w:rFonts w:ascii="Palatino Linotype" w:hAnsi="Palatino Linotype"/>
          <w:sz w:val="22"/>
        </w:rPr>
        <w:t xml:space="preserve">Como limitação à pesquisa, </w:t>
      </w:r>
      <w:r w:rsidR="000C6792" w:rsidRPr="0070772A">
        <w:rPr>
          <w:rFonts w:ascii="Palatino Linotype" w:hAnsi="Palatino Linotype"/>
          <w:sz w:val="22"/>
        </w:rPr>
        <w:t xml:space="preserve">destaca-se que </w:t>
      </w:r>
      <w:r w:rsidRPr="0070772A">
        <w:rPr>
          <w:rFonts w:ascii="Palatino Linotype" w:hAnsi="Palatino Linotype"/>
          <w:sz w:val="22"/>
        </w:rPr>
        <w:t xml:space="preserve">as matrizes curriculares não possuem uniformidade na sua estrutura e, desta forma, a análise das </w:t>
      </w:r>
      <w:r w:rsidR="005F6844" w:rsidRPr="0070772A">
        <w:rPr>
          <w:rFonts w:ascii="Palatino Linotype" w:hAnsi="Palatino Linotype"/>
          <w:sz w:val="22"/>
        </w:rPr>
        <w:t>disciplinas e</w:t>
      </w:r>
      <w:r w:rsidR="000C6792" w:rsidRPr="0070772A">
        <w:rPr>
          <w:rFonts w:ascii="Palatino Linotype" w:hAnsi="Palatino Linotype"/>
          <w:sz w:val="22"/>
        </w:rPr>
        <w:t xml:space="preserve"> seu alinhamento </w:t>
      </w:r>
      <w:r w:rsidRPr="0070772A">
        <w:rPr>
          <w:rFonts w:ascii="Palatino Linotype" w:hAnsi="Palatino Linotype"/>
          <w:sz w:val="22"/>
        </w:rPr>
        <w:t>ao currículo mundial</w:t>
      </w:r>
      <w:r w:rsidR="000C6792" w:rsidRPr="0070772A">
        <w:rPr>
          <w:rFonts w:ascii="Palatino Linotype" w:hAnsi="Palatino Linotype"/>
          <w:sz w:val="22"/>
        </w:rPr>
        <w:t xml:space="preserve"> pode ter sido prejudicada, pelas diferentes nomenclaturas adotadas</w:t>
      </w:r>
      <w:r w:rsidRPr="0070772A">
        <w:rPr>
          <w:rFonts w:ascii="Palatino Linotype" w:hAnsi="Palatino Linotype"/>
          <w:sz w:val="22"/>
        </w:rPr>
        <w:t>.</w:t>
      </w:r>
      <w:r w:rsidR="00C9688F" w:rsidRPr="0070772A">
        <w:rPr>
          <w:rFonts w:ascii="Palatino Linotype" w:hAnsi="Palatino Linotype"/>
          <w:sz w:val="22"/>
        </w:rPr>
        <w:t xml:space="preserve"> </w:t>
      </w:r>
      <w:r w:rsidR="00911BF8" w:rsidRPr="0070772A">
        <w:rPr>
          <w:rFonts w:ascii="Palatino Linotype" w:hAnsi="Palatino Linotype"/>
          <w:sz w:val="22"/>
        </w:rPr>
        <w:t>Outra limitação do estudo foi o fato de não se analisar as ementas das disciplinas</w:t>
      </w:r>
      <w:r w:rsidR="0055080D" w:rsidRPr="0070772A">
        <w:rPr>
          <w:rFonts w:ascii="Palatino Linotype" w:hAnsi="Palatino Linotype"/>
          <w:sz w:val="22"/>
        </w:rPr>
        <w:t xml:space="preserve"> optativas</w:t>
      </w:r>
      <w:r w:rsidR="00911BF8" w:rsidRPr="0070772A">
        <w:rPr>
          <w:rFonts w:ascii="Palatino Linotype" w:hAnsi="Palatino Linotype"/>
          <w:sz w:val="22"/>
        </w:rPr>
        <w:t>, que podem ou não estar alinha</w:t>
      </w:r>
      <w:r w:rsidR="0055080D" w:rsidRPr="0070772A">
        <w:rPr>
          <w:rFonts w:ascii="Palatino Linotype" w:hAnsi="Palatino Linotype"/>
          <w:sz w:val="22"/>
        </w:rPr>
        <w:t>da</w:t>
      </w:r>
      <w:r w:rsidR="00911BF8" w:rsidRPr="0070772A">
        <w:rPr>
          <w:rFonts w:ascii="Palatino Linotype" w:hAnsi="Palatino Linotype"/>
          <w:sz w:val="22"/>
        </w:rPr>
        <w:t>s com os conteúdos sugeridos pela ONU/UNCTAD/ISAR.</w:t>
      </w:r>
    </w:p>
    <w:p w:rsidR="001B0075" w:rsidRPr="0070772A" w:rsidRDefault="00C9688F" w:rsidP="00BE160E">
      <w:pPr>
        <w:rPr>
          <w:rFonts w:ascii="Palatino Linotype" w:hAnsi="Palatino Linotype"/>
          <w:sz w:val="22"/>
        </w:rPr>
      </w:pPr>
      <w:r w:rsidRPr="0070772A">
        <w:rPr>
          <w:rFonts w:ascii="Palatino Linotype" w:hAnsi="Palatino Linotype"/>
          <w:sz w:val="22"/>
        </w:rPr>
        <w:t>Como sugestão de estudos futuros, o</w:t>
      </w:r>
      <w:r w:rsidR="00BE1003" w:rsidRPr="0070772A">
        <w:rPr>
          <w:rFonts w:ascii="Palatino Linotype" w:hAnsi="Palatino Linotype"/>
          <w:sz w:val="22"/>
        </w:rPr>
        <w:t>s números mostram uma convergência para seguir as normas internacionais nas disciplinas ofertadas pelas IES</w:t>
      </w:r>
      <w:r w:rsidR="00911BF8" w:rsidRPr="0070772A">
        <w:rPr>
          <w:rFonts w:ascii="Palatino Linotype" w:hAnsi="Palatino Linotype"/>
          <w:sz w:val="22"/>
        </w:rPr>
        <w:t>. No entanto</w:t>
      </w:r>
      <w:r w:rsidR="00BE1003" w:rsidRPr="0070772A">
        <w:rPr>
          <w:rFonts w:ascii="Palatino Linotype" w:hAnsi="Palatino Linotype"/>
          <w:sz w:val="22"/>
        </w:rPr>
        <w:t xml:space="preserve">, </w:t>
      </w:r>
      <w:r w:rsidR="00911BF8" w:rsidRPr="0070772A">
        <w:rPr>
          <w:rFonts w:ascii="Palatino Linotype" w:hAnsi="Palatino Linotype"/>
          <w:sz w:val="22"/>
        </w:rPr>
        <w:t xml:space="preserve">pode ser oportuno avaliar as ementas dessas disciplinas, para verificar se estas estão alinhadas com as disciplinas sugeridas pelo Currículo Mundial. </w:t>
      </w:r>
    </w:p>
    <w:p w:rsidR="00EC5BBB" w:rsidRPr="0070772A" w:rsidRDefault="00EC5BBB" w:rsidP="00BE160E">
      <w:pPr>
        <w:rPr>
          <w:rFonts w:ascii="Palatino Linotype" w:hAnsi="Palatino Linotype"/>
          <w:sz w:val="22"/>
        </w:rPr>
      </w:pPr>
    </w:p>
    <w:p w:rsidR="00E67B98" w:rsidRPr="0070772A" w:rsidRDefault="00E67B98" w:rsidP="00BE160E">
      <w:pPr>
        <w:rPr>
          <w:rFonts w:ascii="Palatino Linotype" w:hAnsi="Palatino Linotype"/>
          <w:b/>
          <w:sz w:val="22"/>
        </w:rPr>
      </w:pPr>
    </w:p>
    <w:p w:rsidR="009C102F" w:rsidRPr="0070772A" w:rsidRDefault="001558A1" w:rsidP="00FE7B0E">
      <w:pPr>
        <w:pStyle w:val="Ttulo1"/>
        <w:spacing w:before="0"/>
        <w:ind w:left="0" w:firstLine="0"/>
        <w:rPr>
          <w:rFonts w:ascii="Palatino Linotype" w:hAnsi="Palatino Linotype"/>
          <w:sz w:val="22"/>
          <w:szCs w:val="22"/>
        </w:rPr>
      </w:pPr>
      <w:r w:rsidRPr="0070772A">
        <w:rPr>
          <w:rFonts w:ascii="Palatino Linotype" w:hAnsi="Palatino Linotype"/>
          <w:caps w:val="0"/>
          <w:sz w:val="22"/>
          <w:szCs w:val="22"/>
        </w:rPr>
        <w:t>REFERÊNCIAS</w:t>
      </w:r>
    </w:p>
    <w:p w:rsidR="00A705A5" w:rsidRPr="0070772A" w:rsidRDefault="00A705A5" w:rsidP="00BE160E">
      <w:pPr>
        <w:autoSpaceDE w:val="0"/>
        <w:autoSpaceDN w:val="0"/>
        <w:adjustRightInd w:val="0"/>
        <w:rPr>
          <w:rFonts w:ascii="Palatino Linotype" w:hAnsi="Palatino Linotype" w:cs="Arial"/>
          <w:sz w:val="22"/>
          <w:shd w:val="clear" w:color="auto" w:fill="FFFFFF"/>
        </w:rPr>
      </w:pPr>
    </w:p>
    <w:p w:rsidR="000A63D0" w:rsidRPr="0070772A" w:rsidRDefault="005C0506"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CAVALCANTE, D.</w:t>
      </w:r>
      <w:r w:rsidR="000A63D0" w:rsidRPr="0070772A">
        <w:rPr>
          <w:rFonts w:ascii="Palatino Linotype" w:hAnsi="Palatino Linotype" w:cs="Arial"/>
          <w:sz w:val="22"/>
          <w:shd w:val="clear" w:color="auto" w:fill="FFFFFF"/>
        </w:rPr>
        <w:t xml:space="preserve"> S</w:t>
      </w:r>
      <w:r w:rsidRPr="0070772A">
        <w:rPr>
          <w:rFonts w:ascii="Palatino Linotype" w:hAnsi="Palatino Linotype" w:cs="Arial"/>
          <w:sz w:val="22"/>
          <w:shd w:val="clear" w:color="auto" w:fill="FFFFFF"/>
        </w:rPr>
        <w:t>.</w:t>
      </w:r>
      <w:r w:rsidR="000A63D0" w:rsidRPr="0070772A">
        <w:rPr>
          <w:rFonts w:ascii="Palatino Linotype" w:hAnsi="Palatino Linotype" w:cs="Arial"/>
          <w:sz w:val="22"/>
          <w:shd w:val="clear" w:color="auto" w:fill="FFFFFF"/>
        </w:rPr>
        <w:t xml:space="preserve"> et al. Adequação dos currículos dos cursos de Contabilidade das universidades federais brasileiras ao currículo mundial de contabilidade e o desempenho no E</w:t>
      </w:r>
      <w:r w:rsidR="00CC3299" w:rsidRPr="0070772A">
        <w:rPr>
          <w:rFonts w:ascii="Palatino Linotype" w:hAnsi="Palatino Linotype" w:cs="Arial"/>
          <w:sz w:val="22"/>
          <w:shd w:val="clear" w:color="auto" w:fill="FFFFFF"/>
        </w:rPr>
        <w:t>NADE</w:t>
      </w:r>
      <w:r w:rsidR="000A63D0" w:rsidRPr="0070772A">
        <w:rPr>
          <w:rFonts w:ascii="Palatino Linotype" w:hAnsi="Palatino Linotype" w:cs="Arial"/>
          <w:sz w:val="22"/>
          <w:shd w:val="clear" w:color="auto" w:fill="FFFFFF"/>
        </w:rPr>
        <w:t>.</w:t>
      </w:r>
      <w:r w:rsidR="000A63D0" w:rsidRPr="0070772A">
        <w:rPr>
          <w:rStyle w:val="apple-converted-space"/>
          <w:rFonts w:ascii="Palatino Linotype" w:hAnsi="Palatino Linotype" w:cs="Arial"/>
          <w:sz w:val="22"/>
          <w:shd w:val="clear" w:color="auto" w:fill="FFFFFF"/>
        </w:rPr>
        <w:t> </w:t>
      </w:r>
      <w:proofErr w:type="gramStart"/>
      <w:r w:rsidR="000A63D0" w:rsidRPr="0070772A">
        <w:rPr>
          <w:rFonts w:ascii="Palatino Linotype" w:hAnsi="Palatino Linotype" w:cs="Arial"/>
          <w:bCs/>
          <w:i/>
          <w:sz w:val="22"/>
          <w:shd w:val="clear" w:color="auto" w:fill="FFFFFF"/>
        </w:rPr>
        <w:t>Pensar Contábil</w:t>
      </w:r>
      <w:proofErr w:type="gramEnd"/>
      <w:r w:rsidR="000A63D0" w:rsidRPr="0070772A">
        <w:rPr>
          <w:rFonts w:ascii="Palatino Linotype" w:hAnsi="Palatino Linotype" w:cs="Arial"/>
          <w:sz w:val="22"/>
          <w:shd w:val="clear" w:color="auto" w:fill="FFFFFF"/>
        </w:rPr>
        <w:t>, v. 13, n. 50, 2011.</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22C80" w:rsidRPr="0070772A" w:rsidRDefault="00CC3299"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 xml:space="preserve">CAVALCANTI, L. T. </w:t>
      </w:r>
      <w:r w:rsidRPr="0070772A">
        <w:rPr>
          <w:rFonts w:ascii="Palatino Linotype" w:hAnsi="Palatino Linotype" w:cs="Arial"/>
          <w:i/>
          <w:sz w:val="22"/>
          <w:shd w:val="clear" w:color="auto" w:fill="FFFFFF"/>
        </w:rPr>
        <w:t xml:space="preserve">Análise sobre o nível de similaridade dos currículos dos cursos de Ciências Contábeis das instituições de ensino superior do estado de Goiás em relação ao currículo </w:t>
      </w:r>
      <w:r w:rsidRPr="0070772A">
        <w:rPr>
          <w:rFonts w:ascii="Palatino Linotype" w:hAnsi="Palatino Linotype" w:cs="Arial"/>
          <w:i/>
          <w:sz w:val="22"/>
          <w:shd w:val="clear" w:color="auto" w:fill="FFFFFF"/>
        </w:rPr>
        <w:lastRenderedPageBreak/>
        <w:t>mundial proposto pelo ISAR/UNCTAD/ONU</w:t>
      </w:r>
      <w:r w:rsidRPr="0070772A">
        <w:rPr>
          <w:rFonts w:ascii="Palatino Linotype" w:hAnsi="Palatino Linotype" w:cs="Arial"/>
          <w:sz w:val="22"/>
          <w:shd w:val="clear" w:color="auto" w:fill="FFFFFF"/>
        </w:rPr>
        <w:t>. 2013. 73 f. Trabalho de Conclusão de Curso (Graduação) – Faculdade de Administração, Ciências Contábeis e Economia, Universidade Federal de Goiás, Goiânia, 2013.</w:t>
      </w:r>
    </w:p>
    <w:p w:rsidR="00CC3299" w:rsidRPr="0070772A" w:rsidRDefault="00CC3299"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CZESNAT, A</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O</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DA CUNHA, J</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V</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A</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w:t>
      </w:r>
      <w:r w:rsidR="005C0506" w:rsidRPr="0070772A">
        <w:rPr>
          <w:rFonts w:ascii="Palatino Linotype" w:hAnsi="Palatino Linotype" w:cs="Arial"/>
          <w:sz w:val="22"/>
          <w:shd w:val="clear" w:color="auto" w:fill="FFFFFF"/>
        </w:rPr>
        <w:t>DOMINGUES, M. J. C. S.</w:t>
      </w:r>
      <w:r w:rsidRPr="0070772A">
        <w:rPr>
          <w:rFonts w:ascii="Palatino Linotype" w:hAnsi="Palatino Linotype" w:cs="Arial"/>
          <w:sz w:val="22"/>
          <w:shd w:val="clear" w:color="auto" w:fill="FFFFFF"/>
        </w:rPr>
        <w:t xml:space="preserve"> Análise comparativa entre os currículos dos cursos de ciências contábeis das universidades do estado de santa Catarina listadas pelo MEC e o currículo mundial proposto pela ONU/UNCTAD/ISAR.</w:t>
      </w:r>
      <w:r w:rsidRPr="0070772A">
        <w:rPr>
          <w:rStyle w:val="apple-converted-space"/>
          <w:rFonts w:ascii="Palatino Linotype" w:hAnsi="Palatino Linotype" w:cs="Arial"/>
          <w:sz w:val="22"/>
          <w:shd w:val="clear" w:color="auto" w:fill="FFFFFF"/>
        </w:rPr>
        <w:t> </w:t>
      </w:r>
      <w:r w:rsidRPr="0070772A">
        <w:rPr>
          <w:rFonts w:ascii="Palatino Linotype" w:hAnsi="Palatino Linotype" w:cs="Arial"/>
          <w:bCs/>
          <w:i/>
          <w:sz w:val="22"/>
          <w:shd w:val="clear" w:color="auto" w:fill="FFFFFF"/>
        </w:rPr>
        <w:t>Gestão &amp; Regionalidade (Online)</w:t>
      </w:r>
      <w:r w:rsidRPr="0070772A">
        <w:rPr>
          <w:rFonts w:ascii="Palatino Linotype" w:hAnsi="Palatino Linotype" w:cs="Arial"/>
          <w:sz w:val="22"/>
          <w:shd w:val="clear" w:color="auto" w:fill="FFFFFF"/>
        </w:rPr>
        <w:t>, v. 25, n. 75, 2009.</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ERFURTH, A</w:t>
      </w:r>
      <w:r w:rsidR="000B4A70"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E</w:t>
      </w:r>
      <w:r w:rsidR="000B4A70"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DOMINGUES, M</w:t>
      </w:r>
      <w:r w:rsidR="000B4A70" w:rsidRPr="0070772A">
        <w:rPr>
          <w:rFonts w:ascii="Palatino Linotype" w:hAnsi="Palatino Linotype" w:cs="Arial"/>
          <w:sz w:val="22"/>
          <w:shd w:val="clear" w:color="auto" w:fill="FFFFFF"/>
        </w:rPr>
        <w:t xml:space="preserve">. </w:t>
      </w:r>
      <w:r w:rsidRPr="0070772A">
        <w:rPr>
          <w:rFonts w:ascii="Palatino Linotype" w:hAnsi="Palatino Linotype" w:cs="Arial"/>
          <w:sz w:val="22"/>
          <w:shd w:val="clear" w:color="auto" w:fill="FFFFFF"/>
        </w:rPr>
        <w:t>J</w:t>
      </w:r>
      <w:r w:rsidR="000B4A70" w:rsidRPr="0070772A">
        <w:rPr>
          <w:rFonts w:ascii="Palatino Linotype" w:hAnsi="Palatino Linotype" w:cs="Arial"/>
          <w:sz w:val="22"/>
          <w:shd w:val="clear" w:color="auto" w:fill="FFFFFF"/>
        </w:rPr>
        <w:t xml:space="preserve">. </w:t>
      </w:r>
      <w:r w:rsidRPr="0070772A">
        <w:rPr>
          <w:rFonts w:ascii="Palatino Linotype" w:hAnsi="Palatino Linotype" w:cs="Arial"/>
          <w:sz w:val="22"/>
          <w:shd w:val="clear" w:color="auto" w:fill="FFFFFF"/>
        </w:rPr>
        <w:t>C</w:t>
      </w:r>
      <w:r w:rsidR="000B4A70" w:rsidRPr="0070772A">
        <w:rPr>
          <w:rFonts w:ascii="Palatino Linotype" w:hAnsi="Palatino Linotype" w:cs="Arial"/>
          <w:sz w:val="22"/>
          <w:shd w:val="clear" w:color="auto" w:fill="FFFFFF"/>
        </w:rPr>
        <w:t xml:space="preserve">. </w:t>
      </w:r>
      <w:r w:rsidRPr="0070772A">
        <w:rPr>
          <w:rFonts w:ascii="Palatino Linotype" w:hAnsi="Palatino Linotype" w:cs="Arial"/>
          <w:sz w:val="22"/>
          <w:shd w:val="clear" w:color="auto" w:fill="FFFFFF"/>
        </w:rPr>
        <w:t>S. Estrutura curricular do curso de ciências contábeis na universidade de Buenos Aires versus a estrutura curricular proposta pelo ISAR/UNCTAD.</w:t>
      </w:r>
      <w:r w:rsidRPr="0070772A">
        <w:rPr>
          <w:rStyle w:val="apple-converted-space"/>
          <w:rFonts w:ascii="Palatino Linotype" w:hAnsi="Palatino Linotype" w:cs="Arial"/>
          <w:sz w:val="22"/>
          <w:shd w:val="clear" w:color="auto" w:fill="FFFFFF"/>
        </w:rPr>
        <w:t> </w:t>
      </w:r>
      <w:r w:rsidR="00CC3299" w:rsidRPr="0070772A">
        <w:rPr>
          <w:rFonts w:ascii="Palatino Linotype" w:hAnsi="Palatino Linotype" w:cs="Arial"/>
          <w:bCs/>
          <w:i/>
          <w:sz w:val="22"/>
          <w:shd w:val="clear" w:color="auto" w:fill="FFFFFF"/>
        </w:rPr>
        <w:t>Seminário de Ciências Contábeis FURB</w:t>
      </w:r>
      <w:r w:rsidRPr="0070772A">
        <w:rPr>
          <w:rFonts w:ascii="Palatino Linotype" w:hAnsi="Palatino Linotype" w:cs="Arial"/>
          <w:sz w:val="22"/>
          <w:shd w:val="clear" w:color="auto" w:fill="FFFFFF"/>
        </w:rPr>
        <w:t>, v. 4, 2008.</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ERFURTH, A</w:t>
      </w:r>
      <w:r w:rsidR="000B4A70"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E</w:t>
      </w:r>
      <w:r w:rsidR="000B4A70"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w:t>
      </w:r>
      <w:r w:rsidR="000B4A70" w:rsidRPr="0070772A">
        <w:rPr>
          <w:rFonts w:ascii="Palatino Linotype" w:hAnsi="Palatino Linotype" w:cs="Arial"/>
          <w:sz w:val="22"/>
          <w:shd w:val="clear" w:color="auto" w:fill="FFFFFF"/>
        </w:rPr>
        <w:t>DOMINGUES, M. J. C. S.</w:t>
      </w:r>
      <w:r w:rsidRPr="0070772A">
        <w:rPr>
          <w:rFonts w:ascii="Palatino Linotype" w:hAnsi="Palatino Linotype" w:cs="Arial"/>
          <w:sz w:val="22"/>
          <w:shd w:val="clear" w:color="auto" w:fill="FFFFFF"/>
        </w:rPr>
        <w:t xml:space="preserve"> Currículo Mundial e o Ensino de Contabilidade: Estudo dos Cursos de Graduação em Ciências Contábeis em Instituições de Ensino Superior Brasileiras e Argentinas.</w:t>
      </w:r>
      <w:r w:rsidRPr="0070772A">
        <w:rPr>
          <w:rStyle w:val="apple-converted-space"/>
          <w:rFonts w:ascii="Palatino Linotype" w:hAnsi="Palatino Linotype" w:cs="Arial"/>
          <w:sz w:val="22"/>
          <w:shd w:val="clear" w:color="auto" w:fill="FFFFFF"/>
        </w:rPr>
        <w:t> </w:t>
      </w:r>
      <w:proofErr w:type="spellStart"/>
      <w:r w:rsidRPr="0070772A">
        <w:rPr>
          <w:rFonts w:ascii="Palatino Linotype" w:hAnsi="Palatino Linotype" w:cs="Arial"/>
          <w:bCs/>
          <w:i/>
          <w:sz w:val="22"/>
          <w:shd w:val="clear" w:color="auto" w:fill="FFFFFF"/>
        </w:rPr>
        <w:t>ConTexto</w:t>
      </w:r>
      <w:proofErr w:type="spellEnd"/>
      <w:r w:rsidRPr="0070772A">
        <w:rPr>
          <w:rFonts w:ascii="Palatino Linotype" w:hAnsi="Palatino Linotype" w:cs="Arial"/>
          <w:sz w:val="22"/>
          <w:shd w:val="clear" w:color="auto" w:fill="FFFFFF"/>
        </w:rPr>
        <w:t>, v. 13, n. 23, p. 47-60, 2011.</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KLANN, R</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C</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et al. Avaliação de desempenho das instituições de ensino superior pertencentes </w:t>
      </w:r>
      <w:proofErr w:type="spellStart"/>
      <w:r w:rsidRPr="0070772A">
        <w:rPr>
          <w:rFonts w:ascii="Palatino Linotype" w:hAnsi="Palatino Linotype" w:cs="Arial"/>
          <w:sz w:val="22"/>
          <w:shd w:val="clear" w:color="auto" w:fill="FFFFFF"/>
        </w:rPr>
        <w:t>á</w:t>
      </w:r>
      <w:proofErr w:type="spellEnd"/>
      <w:r w:rsidRPr="0070772A">
        <w:rPr>
          <w:rFonts w:ascii="Palatino Linotype" w:hAnsi="Palatino Linotype" w:cs="Arial"/>
          <w:sz w:val="22"/>
          <w:shd w:val="clear" w:color="auto" w:fill="FFFFFF"/>
        </w:rPr>
        <w:t xml:space="preserve"> Associação Catarinense das Fundações Educacionais (ACAFE).</w:t>
      </w:r>
      <w:r w:rsidRPr="0070772A">
        <w:rPr>
          <w:rStyle w:val="apple-converted-space"/>
          <w:rFonts w:ascii="Palatino Linotype" w:hAnsi="Palatino Linotype" w:cs="Arial"/>
          <w:sz w:val="22"/>
          <w:shd w:val="clear" w:color="auto" w:fill="FFFFFF"/>
        </w:rPr>
        <w:t> </w:t>
      </w:r>
      <w:r w:rsidRPr="0070772A">
        <w:rPr>
          <w:rFonts w:ascii="Palatino Linotype" w:hAnsi="Palatino Linotype" w:cs="Arial"/>
          <w:bCs/>
          <w:i/>
          <w:sz w:val="22"/>
          <w:shd w:val="clear" w:color="auto" w:fill="FFFFFF"/>
        </w:rPr>
        <w:t>Contabilidade, Gestão e Governança</w:t>
      </w:r>
      <w:r w:rsidRPr="0070772A">
        <w:rPr>
          <w:rFonts w:ascii="Palatino Linotype" w:hAnsi="Palatino Linotype" w:cs="Arial"/>
          <w:sz w:val="22"/>
          <w:shd w:val="clear" w:color="auto" w:fill="FFFFFF"/>
        </w:rPr>
        <w:t>, v. 15, n. 3, 2012.</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LEMES, S</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DE CARVALHO, L</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N</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w:t>
      </w:r>
      <w:proofErr w:type="gramStart"/>
      <w:r w:rsidRPr="0070772A">
        <w:rPr>
          <w:rFonts w:ascii="Palatino Linotype" w:hAnsi="Palatino Linotype" w:cs="Arial"/>
          <w:sz w:val="22"/>
          <w:shd w:val="clear" w:color="auto" w:fill="FFFFFF"/>
        </w:rPr>
        <w:t>G</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w:t>
      </w:r>
      <w:proofErr w:type="gramEnd"/>
      <w:r w:rsidRPr="0070772A">
        <w:rPr>
          <w:rFonts w:ascii="Palatino Linotype" w:hAnsi="Palatino Linotype" w:cs="Arial"/>
          <w:sz w:val="22"/>
          <w:shd w:val="clear" w:color="auto" w:fill="FFFFFF"/>
        </w:rPr>
        <w:t xml:space="preserve"> Comparabilidade entre o resultado em BR GAAP e US GAAP: evidências das companhias brasileiras listadas nas bolsas norte-americanas.</w:t>
      </w:r>
      <w:r w:rsidRPr="0070772A">
        <w:rPr>
          <w:rStyle w:val="apple-converted-space"/>
          <w:rFonts w:ascii="Palatino Linotype" w:hAnsi="Palatino Linotype" w:cs="Arial"/>
          <w:sz w:val="22"/>
          <w:shd w:val="clear" w:color="auto" w:fill="FFFFFF"/>
        </w:rPr>
        <w:t> </w:t>
      </w:r>
      <w:r w:rsidRPr="0070772A">
        <w:rPr>
          <w:rFonts w:ascii="Palatino Linotype" w:hAnsi="Palatino Linotype" w:cs="Arial"/>
          <w:bCs/>
          <w:i/>
          <w:sz w:val="22"/>
          <w:shd w:val="clear" w:color="auto" w:fill="FFFFFF"/>
        </w:rPr>
        <w:t>Revista Contabilidade &amp; Finanças</w:t>
      </w:r>
      <w:r w:rsidRPr="0070772A">
        <w:rPr>
          <w:rFonts w:ascii="Palatino Linotype" w:hAnsi="Palatino Linotype" w:cs="Arial"/>
          <w:sz w:val="22"/>
          <w:shd w:val="clear" w:color="auto" w:fill="FFFFFF"/>
        </w:rPr>
        <w:t>, v. 20, n. 50, p. 25-45, 2009.</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MAGALHÃES, F</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A</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C</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ANDRADE, J</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X. A educação contábil no estado do </w:t>
      </w:r>
      <w:proofErr w:type="spellStart"/>
      <w:r w:rsidRPr="0070772A">
        <w:rPr>
          <w:rFonts w:ascii="Palatino Linotype" w:hAnsi="Palatino Linotype" w:cs="Arial"/>
          <w:sz w:val="22"/>
          <w:shd w:val="clear" w:color="auto" w:fill="FFFFFF"/>
        </w:rPr>
        <w:t>piauí</w:t>
      </w:r>
      <w:proofErr w:type="spellEnd"/>
      <w:r w:rsidRPr="0070772A">
        <w:rPr>
          <w:rFonts w:ascii="Palatino Linotype" w:hAnsi="Palatino Linotype" w:cs="Arial"/>
          <w:sz w:val="22"/>
          <w:shd w:val="clear" w:color="auto" w:fill="FFFFFF"/>
        </w:rPr>
        <w:t xml:space="preserve"> diante da proposta de convergência internacional do currículo de contabilidade concebida pela ONU/UNCTAD/ISAR. In:</w:t>
      </w:r>
      <w:r w:rsidRPr="0070772A">
        <w:rPr>
          <w:rStyle w:val="apple-converted-space"/>
          <w:rFonts w:ascii="Palatino Linotype" w:hAnsi="Palatino Linotype" w:cs="Arial"/>
          <w:sz w:val="22"/>
          <w:shd w:val="clear" w:color="auto" w:fill="FFFFFF"/>
        </w:rPr>
        <w:t> </w:t>
      </w:r>
      <w:r w:rsidRPr="0070772A">
        <w:rPr>
          <w:rFonts w:ascii="Palatino Linotype" w:hAnsi="Palatino Linotype" w:cs="Arial"/>
          <w:bCs/>
          <w:i/>
          <w:sz w:val="22"/>
          <w:shd w:val="clear" w:color="auto" w:fill="FFFFFF"/>
        </w:rPr>
        <w:t>Congresso USP de Controladoria e Contabilidade</w:t>
      </w:r>
      <w:r w:rsidRPr="0070772A">
        <w:rPr>
          <w:rFonts w:ascii="Palatino Linotype" w:hAnsi="Palatino Linotype" w:cs="Arial"/>
          <w:sz w:val="22"/>
          <w:shd w:val="clear" w:color="auto" w:fill="FFFFFF"/>
        </w:rPr>
        <w:t>. 2006.</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NEZ, E</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et al. Ranking das Instituições de Ensino Superior do Sistema ACAFE a Partir dos Indicadores de Desempenho Econômico, Financeiro e de Atividades.</w:t>
      </w:r>
      <w:r w:rsidRPr="0070772A">
        <w:rPr>
          <w:rStyle w:val="apple-converted-space"/>
          <w:rFonts w:ascii="Palatino Linotype" w:hAnsi="Palatino Linotype" w:cs="Arial"/>
          <w:sz w:val="22"/>
          <w:shd w:val="clear" w:color="auto" w:fill="FFFFFF"/>
        </w:rPr>
        <w:t> </w:t>
      </w:r>
      <w:proofErr w:type="gramStart"/>
      <w:r w:rsidRPr="0070772A">
        <w:rPr>
          <w:rFonts w:ascii="Palatino Linotype" w:hAnsi="Palatino Linotype" w:cs="Arial"/>
          <w:bCs/>
          <w:i/>
          <w:sz w:val="22"/>
          <w:shd w:val="clear" w:color="auto" w:fill="FFFFFF"/>
        </w:rPr>
        <w:t>Pensar Contábil</w:t>
      </w:r>
      <w:proofErr w:type="gramEnd"/>
      <w:r w:rsidRPr="0070772A">
        <w:rPr>
          <w:rFonts w:ascii="Palatino Linotype" w:hAnsi="Palatino Linotype" w:cs="Arial"/>
          <w:sz w:val="22"/>
          <w:shd w:val="clear" w:color="auto" w:fill="FFFFFF"/>
        </w:rPr>
        <w:t>, v. 16, n. 60, 2014.</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NIYAMA, J</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K. </w:t>
      </w:r>
      <w:r w:rsidRPr="0070772A">
        <w:rPr>
          <w:rFonts w:ascii="Palatino Linotype" w:hAnsi="Palatino Linotype" w:cs="Arial"/>
          <w:i/>
          <w:sz w:val="22"/>
          <w:shd w:val="clear" w:color="auto" w:fill="FFFFFF"/>
        </w:rPr>
        <w:t>Contabilidade internacional: causas das diferenças internacionais, harmonização contábil internacional, estudo comparativo entre países, divergências nos critérios de reconhecimento e mensuração, evidenciação segundo FASB e IASB</w:t>
      </w:r>
      <w:r w:rsidRPr="0070772A">
        <w:rPr>
          <w:rFonts w:ascii="Palatino Linotype" w:hAnsi="Palatino Linotype" w:cs="Arial"/>
          <w:sz w:val="22"/>
          <w:shd w:val="clear" w:color="auto" w:fill="FFFFFF"/>
        </w:rPr>
        <w:t>.</w:t>
      </w:r>
      <w:r w:rsidRPr="0070772A">
        <w:rPr>
          <w:rStyle w:val="apple-converted-space"/>
          <w:rFonts w:ascii="Palatino Linotype" w:hAnsi="Palatino Linotype" w:cs="Arial"/>
          <w:sz w:val="22"/>
          <w:shd w:val="clear" w:color="auto" w:fill="FFFFFF"/>
        </w:rPr>
        <w:t> </w:t>
      </w:r>
      <w:r w:rsidRPr="0070772A">
        <w:rPr>
          <w:rFonts w:ascii="Palatino Linotype" w:hAnsi="Palatino Linotype" w:cs="Arial"/>
          <w:bCs/>
          <w:sz w:val="22"/>
          <w:shd w:val="clear" w:color="auto" w:fill="FFFFFF"/>
        </w:rPr>
        <w:t>São Paulo: Atla</w:t>
      </w:r>
      <w:r w:rsidRPr="0070772A">
        <w:rPr>
          <w:rFonts w:ascii="Palatino Linotype" w:hAnsi="Palatino Linotype" w:cs="Arial"/>
          <w:b/>
          <w:bCs/>
          <w:sz w:val="22"/>
          <w:shd w:val="clear" w:color="auto" w:fill="FFFFFF"/>
        </w:rPr>
        <w:t>s</w:t>
      </w:r>
      <w:r w:rsidRPr="0070772A">
        <w:rPr>
          <w:rFonts w:ascii="Palatino Linotype" w:hAnsi="Palatino Linotype" w:cs="Arial"/>
          <w:sz w:val="22"/>
          <w:shd w:val="clear" w:color="auto" w:fill="FFFFFF"/>
        </w:rPr>
        <w:t>, 2005.</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RICCIO, E</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L</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SAKATA, M</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C</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G. Evidências da globalização na educação contábil: estudo das grades curriculares dos cursos de graduação em universidades brasileiras e portuguesas.</w:t>
      </w:r>
      <w:r w:rsidRPr="0070772A">
        <w:rPr>
          <w:rStyle w:val="apple-converted-space"/>
          <w:rFonts w:ascii="Palatino Linotype" w:hAnsi="Palatino Linotype" w:cs="Arial"/>
          <w:sz w:val="22"/>
          <w:shd w:val="clear" w:color="auto" w:fill="FFFFFF"/>
        </w:rPr>
        <w:t> </w:t>
      </w:r>
      <w:r w:rsidRPr="0070772A">
        <w:rPr>
          <w:rFonts w:ascii="Palatino Linotype" w:hAnsi="Palatino Linotype" w:cs="Arial"/>
          <w:bCs/>
          <w:i/>
          <w:sz w:val="22"/>
          <w:shd w:val="clear" w:color="auto" w:fill="FFFFFF"/>
        </w:rPr>
        <w:t>Revista Contabilidade &amp; Finanças</w:t>
      </w:r>
      <w:r w:rsidRPr="0070772A">
        <w:rPr>
          <w:rFonts w:ascii="Palatino Linotype" w:hAnsi="Palatino Linotype" w:cs="Arial"/>
          <w:sz w:val="22"/>
          <w:shd w:val="clear" w:color="auto" w:fill="FFFFFF"/>
        </w:rPr>
        <w:t>, v. 15, n. 35, p. 35-44, 2004.</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A63D0" w:rsidRPr="0070772A" w:rsidRDefault="000A63D0" w:rsidP="00BE160E">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t>SANTOS, A</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C</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w:t>
      </w:r>
      <w:r w:rsidR="005C0506" w:rsidRPr="0070772A">
        <w:rPr>
          <w:rFonts w:ascii="Palatino Linotype" w:hAnsi="Palatino Linotype" w:cs="Arial"/>
          <w:sz w:val="22"/>
          <w:shd w:val="clear" w:color="auto" w:fill="FFFFFF"/>
        </w:rPr>
        <w:t>DOMINGUES, M. J. C. S.</w:t>
      </w:r>
      <w:r w:rsidRPr="0070772A">
        <w:rPr>
          <w:rFonts w:ascii="Palatino Linotype" w:hAnsi="Palatino Linotype" w:cs="Arial"/>
          <w:sz w:val="22"/>
          <w:shd w:val="clear" w:color="auto" w:fill="FFFFFF"/>
        </w:rPr>
        <w:t>; RIBEIRO, M</w:t>
      </w:r>
      <w:r w:rsidR="005C0506" w:rsidRPr="0070772A">
        <w:rPr>
          <w:rFonts w:ascii="Palatino Linotype" w:hAnsi="Palatino Linotype" w:cs="Arial"/>
          <w:sz w:val="22"/>
          <w:shd w:val="clear" w:color="auto" w:fill="FFFFFF"/>
        </w:rPr>
        <w:t>.</w:t>
      </w:r>
      <w:r w:rsidRPr="0070772A">
        <w:rPr>
          <w:rFonts w:ascii="Palatino Linotype" w:hAnsi="Palatino Linotype" w:cs="Arial"/>
          <w:sz w:val="22"/>
          <w:shd w:val="clear" w:color="auto" w:fill="FFFFFF"/>
        </w:rPr>
        <w:t xml:space="preserve"> J. </w:t>
      </w:r>
      <w:r w:rsidR="005C0506" w:rsidRPr="0070772A">
        <w:rPr>
          <w:rFonts w:ascii="Palatino Linotype" w:hAnsi="Palatino Linotype" w:cs="Arial"/>
          <w:sz w:val="22"/>
          <w:shd w:val="clear" w:color="auto" w:fill="FFFFFF"/>
        </w:rPr>
        <w:t xml:space="preserve">Nível de similaridade das matrizes curriculares dos cursos de ciências contábeis das instituições paranaenses listadas no </w:t>
      </w:r>
      <w:proofErr w:type="spellStart"/>
      <w:r w:rsidR="005C0506" w:rsidRPr="0070772A">
        <w:rPr>
          <w:rFonts w:ascii="Palatino Linotype" w:hAnsi="Palatino Linotype" w:cs="Arial"/>
          <w:sz w:val="22"/>
          <w:shd w:val="clear" w:color="auto" w:fill="FFFFFF"/>
        </w:rPr>
        <w:t>mec</w:t>
      </w:r>
      <w:proofErr w:type="spellEnd"/>
      <w:r w:rsidR="005C0506" w:rsidRPr="0070772A">
        <w:rPr>
          <w:rFonts w:ascii="Palatino Linotype" w:hAnsi="Palatino Linotype" w:cs="Arial"/>
          <w:sz w:val="22"/>
          <w:shd w:val="clear" w:color="auto" w:fill="FFFFFF"/>
        </w:rPr>
        <w:t>, ao currículo mundial.</w:t>
      </w:r>
      <w:r w:rsidRPr="0070772A">
        <w:rPr>
          <w:rStyle w:val="apple-converted-space"/>
          <w:rFonts w:ascii="Palatino Linotype" w:hAnsi="Palatino Linotype" w:cs="Arial"/>
          <w:sz w:val="22"/>
          <w:shd w:val="clear" w:color="auto" w:fill="FFFFFF"/>
        </w:rPr>
        <w:t> </w:t>
      </w:r>
      <w:r w:rsidRPr="0070772A">
        <w:rPr>
          <w:rFonts w:ascii="Palatino Linotype" w:hAnsi="Palatino Linotype" w:cs="Arial"/>
          <w:bCs/>
          <w:i/>
          <w:sz w:val="22"/>
          <w:shd w:val="clear" w:color="auto" w:fill="FFFFFF"/>
        </w:rPr>
        <w:t>Registro Contábil</w:t>
      </w:r>
      <w:r w:rsidRPr="0070772A">
        <w:rPr>
          <w:rFonts w:ascii="Palatino Linotype" w:hAnsi="Palatino Linotype" w:cs="Arial"/>
          <w:sz w:val="22"/>
          <w:shd w:val="clear" w:color="auto" w:fill="FFFFFF"/>
        </w:rPr>
        <w:t>, v. 4, n. 3, p. 105-127, 2013.</w:t>
      </w:r>
    </w:p>
    <w:p w:rsidR="00022C80" w:rsidRPr="0070772A" w:rsidRDefault="00022C80" w:rsidP="00BE160E">
      <w:pPr>
        <w:autoSpaceDE w:val="0"/>
        <w:autoSpaceDN w:val="0"/>
        <w:adjustRightInd w:val="0"/>
        <w:rPr>
          <w:rFonts w:ascii="Palatino Linotype" w:hAnsi="Palatino Linotype" w:cs="Arial"/>
          <w:sz w:val="22"/>
          <w:shd w:val="clear" w:color="auto" w:fill="FFFFFF"/>
        </w:rPr>
      </w:pPr>
    </w:p>
    <w:p w:rsidR="00022C80" w:rsidRPr="0070772A" w:rsidRDefault="007463AF" w:rsidP="007463AF">
      <w:pPr>
        <w:autoSpaceDE w:val="0"/>
        <w:autoSpaceDN w:val="0"/>
        <w:adjustRightInd w:val="0"/>
        <w:rPr>
          <w:rFonts w:ascii="Palatino Linotype" w:hAnsi="Palatino Linotype" w:cs="Arial"/>
          <w:sz w:val="22"/>
          <w:shd w:val="clear" w:color="auto" w:fill="FFFFFF"/>
        </w:rPr>
      </w:pPr>
      <w:r w:rsidRPr="0070772A">
        <w:rPr>
          <w:rFonts w:ascii="Palatino Linotype" w:hAnsi="Palatino Linotype" w:cs="Arial"/>
          <w:sz w:val="22"/>
          <w:shd w:val="clear" w:color="auto" w:fill="FFFFFF"/>
        </w:rPr>
        <w:lastRenderedPageBreak/>
        <w:t xml:space="preserve">SEGANTINI, Giovanna </w:t>
      </w:r>
      <w:proofErr w:type="spellStart"/>
      <w:r w:rsidRPr="0070772A">
        <w:rPr>
          <w:rFonts w:ascii="Palatino Linotype" w:hAnsi="Palatino Linotype" w:cs="Arial"/>
          <w:sz w:val="22"/>
          <w:shd w:val="clear" w:color="auto" w:fill="FFFFFF"/>
        </w:rPr>
        <w:t>Tonetto</w:t>
      </w:r>
      <w:proofErr w:type="spellEnd"/>
      <w:r w:rsidRPr="0070772A">
        <w:rPr>
          <w:rFonts w:ascii="Palatino Linotype" w:hAnsi="Palatino Linotype" w:cs="Arial"/>
          <w:sz w:val="22"/>
          <w:shd w:val="clear" w:color="auto" w:fill="FFFFFF"/>
        </w:rPr>
        <w:t xml:space="preserve"> et al. Uma Análise Crítica Entre os Currículos dos Cursos de Ciências Contábeis nos Países do Mercosul e o Proposto Pela ONU/UNCTAD/ISAR. </w:t>
      </w:r>
      <w:r w:rsidRPr="0070772A">
        <w:rPr>
          <w:rFonts w:ascii="Palatino Linotype" w:hAnsi="Palatino Linotype" w:cs="Arial"/>
          <w:bCs/>
          <w:i/>
          <w:sz w:val="22"/>
          <w:shd w:val="clear" w:color="auto" w:fill="FFFFFF"/>
        </w:rPr>
        <w:t>Revista Evidenciação Contábil &amp; Finanças</w:t>
      </w:r>
      <w:r w:rsidRPr="0070772A">
        <w:rPr>
          <w:rFonts w:ascii="Palatino Linotype" w:hAnsi="Palatino Linotype" w:cs="Arial"/>
          <w:sz w:val="22"/>
          <w:shd w:val="clear" w:color="auto" w:fill="FFFFFF"/>
        </w:rPr>
        <w:t>, v. 1, n. 1, p. 85-98, 2013.</w:t>
      </w:r>
    </w:p>
    <w:p w:rsidR="007463AF" w:rsidRPr="0070772A" w:rsidRDefault="007463AF" w:rsidP="007463AF">
      <w:pPr>
        <w:autoSpaceDE w:val="0"/>
        <w:autoSpaceDN w:val="0"/>
        <w:adjustRightInd w:val="0"/>
        <w:rPr>
          <w:rFonts w:ascii="Palatino Linotype" w:hAnsi="Palatino Linotype" w:cs="Arial"/>
          <w:sz w:val="22"/>
          <w:shd w:val="clear" w:color="auto" w:fill="FFFFFF"/>
        </w:rPr>
      </w:pPr>
    </w:p>
    <w:p w:rsidR="00DD4D7E" w:rsidRPr="0070772A" w:rsidRDefault="00DD4D7E" w:rsidP="007463AF">
      <w:pPr>
        <w:autoSpaceDE w:val="0"/>
        <w:autoSpaceDN w:val="0"/>
        <w:adjustRightInd w:val="0"/>
        <w:rPr>
          <w:rFonts w:ascii="Palatino Linotype" w:hAnsi="Palatino Linotype"/>
          <w:sz w:val="22"/>
        </w:rPr>
      </w:pPr>
      <w:r w:rsidRPr="0070772A">
        <w:rPr>
          <w:rFonts w:ascii="Palatino Linotype" w:hAnsi="Palatino Linotype"/>
          <w:sz w:val="22"/>
        </w:rPr>
        <w:t>UNCTAD/ISAR.</w:t>
      </w:r>
      <w:r w:rsidR="000A63D0" w:rsidRPr="0070772A">
        <w:rPr>
          <w:rFonts w:ascii="Palatino Linotype" w:hAnsi="Palatino Linotype"/>
          <w:sz w:val="22"/>
        </w:rPr>
        <w:t xml:space="preserve"> </w:t>
      </w:r>
      <w:r w:rsidRPr="0070772A">
        <w:rPr>
          <w:rFonts w:ascii="Palatino Linotype" w:hAnsi="Palatino Linotype"/>
          <w:sz w:val="22"/>
        </w:rPr>
        <w:t xml:space="preserve">TD/B/COM.2/ISAR/5 – </w:t>
      </w:r>
      <w:r w:rsidRPr="0070772A">
        <w:rPr>
          <w:rFonts w:ascii="Palatino Linotype" w:hAnsi="Palatino Linotype"/>
          <w:i/>
          <w:sz w:val="22"/>
        </w:rPr>
        <w:t>Directiva para a elaboración de un programa mundial de estúdios de Contabilidad y otras normas y requisitos de cuali</w:t>
      </w:r>
      <w:r w:rsidR="00787A9C" w:rsidRPr="0070772A">
        <w:rPr>
          <w:rFonts w:ascii="Palatino Linotype" w:hAnsi="Palatino Linotype"/>
          <w:i/>
          <w:sz w:val="22"/>
        </w:rPr>
        <w:t>ficación</w:t>
      </w:r>
      <w:r w:rsidR="00787A9C" w:rsidRPr="0070772A">
        <w:rPr>
          <w:rFonts w:ascii="Palatino Linotype" w:hAnsi="Palatino Linotype"/>
          <w:sz w:val="22"/>
        </w:rPr>
        <w:t xml:space="preserve">. </w:t>
      </w:r>
      <w:proofErr w:type="spellStart"/>
      <w:r w:rsidR="00787A9C" w:rsidRPr="0070772A">
        <w:rPr>
          <w:rFonts w:ascii="Palatino Linotype" w:hAnsi="Palatino Linotype"/>
          <w:sz w:val="22"/>
        </w:rPr>
        <w:t>Gienebra</w:t>
      </w:r>
      <w:proofErr w:type="spellEnd"/>
      <w:r w:rsidR="00787A9C" w:rsidRPr="0070772A">
        <w:rPr>
          <w:rFonts w:ascii="Palatino Linotype" w:hAnsi="Palatino Linotype"/>
          <w:sz w:val="22"/>
        </w:rPr>
        <w:t>, 1999a.</w:t>
      </w:r>
      <w:r w:rsidR="000A63D0" w:rsidRPr="0070772A">
        <w:rPr>
          <w:rFonts w:ascii="Palatino Linotype" w:hAnsi="Palatino Linotype"/>
          <w:sz w:val="22"/>
        </w:rPr>
        <w:t xml:space="preserve"> 2009</w:t>
      </w:r>
    </w:p>
    <w:p w:rsidR="00022C80" w:rsidRPr="0070772A" w:rsidRDefault="00022C80" w:rsidP="00BE160E">
      <w:pPr>
        <w:autoSpaceDE w:val="0"/>
        <w:autoSpaceDN w:val="0"/>
        <w:adjustRightInd w:val="0"/>
        <w:rPr>
          <w:rFonts w:ascii="Palatino Linotype" w:hAnsi="Palatino Linotype"/>
          <w:sz w:val="22"/>
        </w:rPr>
      </w:pPr>
    </w:p>
    <w:p w:rsidR="00DD4D7E" w:rsidRPr="0070772A" w:rsidRDefault="00DD4D7E" w:rsidP="00BE160E">
      <w:pPr>
        <w:autoSpaceDE w:val="0"/>
        <w:autoSpaceDN w:val="0"/>
        <w:adjustRightInd w:val="0"/>
        <w:rPr>
          <w:rFonts w:ascii="Palatino Linotype" w:hAnsi="Palatino Linotype"/>
          <w:sz w:val="22"/>
        </w:rPr>
      </w:pPr>
      <w:r w:rsidRPr="0070772A">
        <w:rPr>
          <w:rFonts w:ascii="Palatino Linotype" w:hAnsi="Palatino Linotype"/>
          <w:sz w:val="22"/>
        </w:rPr>
        <w:t xml:space="preserve">_______________TD/B/COM.2/ISAR/6 </w:t>
      </w:r>
      <w:r w:rsidRPr="0070772A">
        <w:rPr>
          <w:rFonts w:ascii="Palatino Linotype" w:hAnsi="Palatino Linotype"/>
          <w:i/>
          <w:sz w:val="22"/>
        </w:rPr>
        <w:t xml:space="preserve">– </w:t>
      </w:r>
      <w:proofErr w:type="spellStart"/>
      <w:r w:rsidRPr="0070772A">
        <w:rPr>
          <w:rFonts w:ascii="Palatino Linotype" w:hAnsi="Palatino Linotype"/>
          <w:i/>
          <w:sz w:val="22"/>
        </w:rPr>
        <w:t>Plan</w:t>
      </w:r>
      <w:proofErr w:type="spellEnd"/>
      <w:r w:rsidRPr="0070772A">
        <w:rPr>
          <w:rFonts w:ascii="Palatino Linotype" w:hAnsi="Palatino Linotype"/>
          <w:i/>
          <w:sz w:val="22"/>
        </w:rPr>
        <w:t xml:space="preserve"> de </w:t>
      </w:r>
      <w:proofErr w:type="spellStart"/>
      <w:r w:rsidRPr="0070772A">
        <w:rPr>
          <w:rFonts w:ascii="Palatino Linotype" w:hAnsi="Palatino Linotype"/>
          <w:i/>
          <w:sz w:val="22"/>
        </w:rPr>
        <w:t>studios</w:t>
      </w:r>
      <w:proofErr w:type="spellEnd"/>
      <w:r w:rsidRPr="0070772A">
        <w:rPr>
          <w:rFonts w:ascii="Palatino Linotype" w:hAnsi="Palatino Linotype"/>
          <w:i/>
          <w:sz w:val="22"/>
        </w:rPr>
        <w:t xml:space="preserve"> mundial para la formación de constables profe</w:t>
      </w:r>
      <w:r w:rsidR="00787A9C" w:rsidRPr="0070772A">
        <w:rPr>
          <w:rFonts w:ascii="Palatino Linotype" w:hAnsi="Palatino Linotype"/>
          <w:i/>
          <w:sz w:val="22"/>
        </w:rPr>
        <w:t>ssionals</w:t>
      </w:r>
      <w:r w:rsidR="00787A9C" w:rsidRPr="0070772A">
        <w:rPr>
          <w:rFonts w:ascii="Palatino Linotype" w:hAnsi="Palatino Linotype"/>
          <w:sz w:val="22"/>
        </w:rPr>
        <w:t xml:space="preserve">. </w:t>
      </w:r>
      <w:proofErr w:type="spellStart"/>
      <w:r w:rsidR="00787A9C" w:rsidRPr="0070772A">
        <w:rPr>
          <w:rFonts w:ascii="Palatino Linotype" w:hAnsi="Palatino Linotype"/>
          <w:sz w:val="22"/>
        </w:rPr>
        <w:t>Gienebra</w:t>
      </w:r>
      <w:proofErr w:type="spellEnd"/>
      <w:r w:rsidR="00787A9C" w:rsidRPr="0070772A">
        <w:rPr>
          <w:rFonts w:ascii="Palatino Linotype" w:hAnsi="Palatino Linotype"/>
          <w:sz w:val="22"/>
        </w:rPr>
        <w:t>, 1999b.</w:t>
      </w:r>
      <w:r w:rsidR="000A63D0" w:rsidRPr="0070772A">
        <w:rPr>
          <w:rFonts w:ascii="Palatino Linotype" w:hAnsi="Palatino Linotype"/>
          <w:sz w:val="22"/>
        </w:rPr>
        <w:t xml:space="preserve"> 2009</w:t>
      </w:r>
    </w:p>
    <w:p w:rsidR="00022C80" w:rsidRPr="0070772A" w:rsidRDefault="00022C80" w:rsidP="00BE160E">
      <w:pPr>
        <w:autoSpaceDE w:val="0"/>
        <w:autoSpaceDN w:val="0"/>
        <w:adjustRightInd w:val="0"/>
        <w:rPr>
          <w:rFonts w:ascii="Palatino Linotype" w:hAnsi="Palatino Linotype"/>
          <w:sz w:val="22"/>
        </w:rPr>
      </w:pPr>
    </w:p>
    <w:p w:rsidR="00951E57" w:rsidRPr="0070772A" w:rsidRDefault="00DD4D7E" w:rsidP="00BE160E">
      <w:pPr>
        <w:autoSpaceDE w:val="0"/>
        <w:autoSpaceDN w:val="0"/>
        <w:adjustRightInd w:val="0"/>
        <w:rPr>
          <w:rFonts w:ascii="Palatino Linotype" w:hAnsi="Palatino Linotype"/>
          <w:sz w:val="22"/>
        </w:rPr>
      </w:pPr>
      <w:r w:rsidRPr="0070772A">
        <w:rPr>
          <w:rFonts w:ascii="Palatino Linotype" w:hAnsi="Palatino Linotype"/>
          <w:sz w:val="22"/>
        </w:rPr>
        <w:t>_______________TD/B/COM.2/ISAR/21 –</w:t>
      </w:r>
      <w:proofErr w:type="spellStart"/>
      <w:r w:rsidRPr="0070772A">
        <w:rPr>
          <w:rFonts w:ascii="Palatino Linotype" w:hAnsi="Palatino Linotype"/>
          <w:i/>
          <w:sz w:val="22"/>
        </w:rPr>
        <w:t>Plan</w:t>
      </w:r>
      <w:proofErr w:type="spellEnd"/>
      <w:r w:rsidRPr="0070772A">
        <w:rPr>
          <w:rFonts w:ascii="Palatino Linotype" w:hAnsi="Palatino Linotype"/>
          <w:i/>
          <w:sz w:val="22"/>
        </w:rPr>
        <w:t xml:space="preserve"> de </w:t>
      </w:r>
      <w:proofErr w:type="spellStart"/>
      <w:r w:rsidRPr="0070772A">
        <w:rPr>
          <w:rFonts w:ascii="Palatino Linotype" w:hAnsi="Palatino Linotype"/>
          <w:i/>
          <w:sz w:val="22"/>
        </w:rPr>
        <w:t>studios</w:t>
      </w:r>
      <w:proofErr w:type="spellEnd"/>
      <w:r w:rsidRPr="0070772A">
        <w:rPr>
          <w:rFonts w:ascii="Palatino Linotype" w:hAnsi="Palatino Linotype"/>
          <w:i/>
          <w:sz w:val="22"/>
        </w:rPr>
        <w:t xml:space="preserve"> mundial para </w:t>
      </w:r>
      <w:proofErr w:type="spellStart"/>
      <w:r w:rsidRPr="0070772A">
        <w:rPr>
          <w:rFonts w:ascii="Palatino Linotype" w:hAnsi="Palatino Linotype"/>
          <w:i/>
          <w:sz w:val="22"/>
        </w:rPr>
        <w:t>la</w:t>
      </w:r>
      <w:proofErr w:type="spellEnd"/>
      <w:r w:rsidRPr="0070772A">
        <w:rPr>
          <w:rFonts w:ascii="Palatino Linotype" w:hAnsi="Palatino Linotype"/>
          <w:i/>
          <w:sz w:val="22"/>
        </w:rPr>
        <w:t xml:space="preserve"> </w:t>
      </w:r>
      <w:proofErr w:type="spellStart"/>
      <w:r w:rsidRPr="0070772A">
        <w:rPr>
          <w:rFonts w:ascii="Palatino Linotype" w:hAnsi="Palatino Linotype"/>
          <w:i/>
          <w:sz w:val="22"/>
        </w:rPr>
        <w:t>formación</w:t>
      </w:r>
      <w:proofErr w:type="spellEnd"/>
      <w:r w:rsidRPr="0070772A">
        <w:rPr>
          <w:rFonts w:ascii="Palatino Linotype" w:hAnsi="Palatino Linotype"/>
          <w:i/>
          <w:sz w:val="22"/>
        </w:rPr>
        <w:t xml:space="preserve"> de </w:t>
      </w:r>
      <w:proofErr w:type="spellStart"/>
      <w:r w:rsidRPr="0070772A">
        <w:rPr>
          <w:rFonts w:ascii="Palatino Linotype" w:hAnsi="Palatino Linotype"/>
          <w:i/>
          <w:sz w:val="22"/>
        </w:rPr>
        <w:t>constables</w:t>
      </w:r>
      <w:proofErr w:type="spellEnd"/>
      <w:r w:rsidRPr="0070772A">
        <w:rPr>
          <w:rFonts w:ascii="Palatino Linotype" w:hAnsi="Palatino Linotype"/>
          <w:i/>
          <w:sz w:val="22"/>
        </w:rPr>
        <w:t xml:space="preserve"> </w:t>
      </w:r>
      <w:proofErr w:type="spellStart"/>
      <w:r w:rsidRPr="0070772A">
        <w:rPr>
          <w:rFonts w:ascii="Palatino Linotype" w:hAnsi="Palatino Linotype"/>
          <w:i/>
          <w:sz w:val="22"/>
        </w:rPr>
        <w:t>professionals</w:t>
      </w:r>
      <w:proofErr w:type="spellEnd"/>
      <w:r w:rsidRPr="0070772A">
        <w:rPr>
          <w:rFonts w:ascii="Palatino Linotype" w:hAnsi="Palatino Linotype"/>
          <w:i/>
          <w:sz w:val="22"/>
        </w:rPr>
        <w:t xml:space="preserve"> (revisado</w:t>
      </w:r>
      <w:r w:rsidRPr="0070772A">
        <w:rPr>
          <w:rFonts w:ascii="Palatino Linotype" w:hAnsi="Palatino Linotype"/>
          <w:sz w:val="22"/>
        </w:rPr>
        <w:t xml:space="preserve">). </w:t>
      </w:r>
      <w:proofErr w:type="spellStart"/>
      <w:r w:rsidRPr="0070772A">
        <w:rPr>
          <w:rFonts w:ascii="Palatino Linotype" w:hAnsi="Palatino Linotype"/>
          <w:sz w:val="22"/>
        </w:rPr>
        <w:t>Gienebra</w:t>
      </w:r>
      <w:proofErr w:type="spellEnd"/>
      <w:r w:rsidRPr="0070772A">
        <w:rPr>
          <w:rFonts w:ascii="Palatino Linotype" w:hAnsi="Palatino Linotype"/>
          <w:sz w:val="22"/>
        </w:rPr>
        <w:t xml:space="preserve">, 2003. </w:t>
      </w:r>
      <w:r w:rsidR="000A63D0" w:rsidRPr="0070772A">
        <w:rPr>
          <w:rFonts w:ascii="Palatino Linotype" w:hAnsi="Palatino Linotype"/>
          <w:sz w:val="22"/>
        </w:rPr>
        <w:t>2009</w:t>
      </w:r>
    </w:p>
    <w:p w:rsidR="00143172" w:rsidRPr="0070772A" w:rsidRDefault="00143172" w:rsidP="00BE160E">
      <w:pPr>
        <w:autoSpaceDE w:val="0"/>
        <w:autoSpaceDN w:val="0"/>
        <w:adjustRightInd w:val="0"/>
        <w:rPr>
          <w:rFonts w:ascii="Palatino Linotype" w:hAnsi="Palatino Linotype"/>
          <w:sz w:val="22"/>
        </w:rPr>
      </w:pPr>
    </w:p>
    <w:p w:rsidR="00143172" w:rsidRPr="0070772A" w:rsidRDefault="00143172" w:rsidP="00BE160E">
      <w:pPr>
        <w:autoSpaceDE w:val="0"/>
        <w:autoSpaceDN w:val="0"/>
        <w:adjustRightInd w:val="0"/>
        <w:rPr>
          <w:rFonts w:ascii="Palatino Linotype" w:hAnsi="Palatino Linotype"/>
          <w:sz w:val="22"/>
        </w:rPr>
      </w:pPr>
      <w:r w:rsidRPr="003717F5">
        <w:rPr>
          <w:rFonts w:ascii="Palatino Linotype" w:hAnsi="Palatino Linotype"/>
          <w:sz w:val="22"/>
        </w:rPr>
        <w:t xml:space="preserve">______________TD/B/COM.2/ISAR/21 – </w:t>
      </w:r>
      <w:proofErr w:type="spellStart"/>
      <w:r w:rsidRPr="003717F5">
        <w:rPr>
          <w:rFonts w:ascii="Palatino Linotype" w:hAnsi="Palatino Linotype"/>
          <w:i/>
          <w:sz w:val="22"/>
        </w:rPr>
        <w:t>Revised</w:t>
      </w:r>
      <w:proofErr w:type="spellEnd"/>
      <w:r w:rsidRPr="003717F5">
        <w:rPr>
          <w:rFonts w:ascii="Palatino Linotype" w:hAnsi="Palatino Linotype"/>
          <w:i/>
          <w:sz w:val="22"/>
        </w:rPr>
        <w:t xml:space="preserve"> </w:t>
      </w:r>
      <w:proofErr w:type="spellStart"/>
      <w:r w:rsidRPr="003717F5">
        <w:rPr>
          <w:rFonts w:ascii="Palatino Linotype" w:hAnsi="Palatino Linotype"/>
          <w:i/>
          <w:sz w:val="22"/>
        </w:rPr>
        <w:t>model</w:t>
      </w:r>
      <w:proofErr w:type="spellEnd"/>
      <w:r w:rsidRPr="003717F5">
        <w:rPr>
          <w:rFonts w:ascii="Palatino Linotype" w:hAnsi="Palatino Linotype"/>
          <w:i/>
          <w:sz w:val="22"/>
        </w:rPr>
        <w:t xml:space="preserve"> </w:t>
      </w:r>
      <w:proofErr w:type="spellStart"/>
      <w:r w:rsidRPr="003717F5">
        <w:rPr>
          <w:rFonts w:ascii="Palatino Linotype" w:hAnsi="Palatino Linotype"/>
          <w:i/>
          <w:sz w:val="22"/>
        </w:rPr>
        <w:t>accounting</w:t>
      </w:r>
      <w:proofErr w:type="spellEnd"/>
      <w:r w:rsidRPr="003717F5">
        <w:rPr>
          <w:rFonts w:ascii="Palatino Linotype" w:hAnsi="Palatino Linotype"/>
          <w:i/>
          <w:sz w:val="22"/>
        </w:rPr>
        <w:t xml:space="preserve"> curriculum (CM).</w:t>
      </w:r>
      <w:r w:rsidRPr="003717F5">
        <w:rPr>
          <w:rFonts w:ascii="Palatino Linotype" w:hAnsi="Palatino Linotype"/>
          <w:sz w:val="22"/>
        </w:rPr>
        <w:t xml:space="preserve"> 2003. </w:t>
      </w:r>
      <w:r w:rsidRPr="0070772A">
        <w:rPr>
          <w:rFonts w:ascii="Palatino Linotype" w:hAnsi="Palatino Linotype"/>
          <w:sz w:val="22"/>
        </w:rPr>
        <w:t>Disponível em: &lt;http://unctad.org/en/docs/c2isar21_en.pdf&gt;. Acesso em: 15 jul. 2016.</w:t>
      </w:r>
    </w:p>
    <w:sectPr w:rsidR="00143172" w:rsidRPr="0070772A" w:rsidSect="00DD4D7E">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0AA" w:rsidRDefault="00FF30AA" w:rsidP="00F567FB">
      <w:r>
        <w:separator/>
      </w:r>
    </w:p>
  </w:endnote>
  <w:endnote w:type="continuationSeparator" w:id="0">
    <w:p w:rsidR="00FF30AA" w:rsidRDefault="00FF30AA" w:rsidP="00F5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BE" w:rsidRDefault="003C2A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861262"/>
      <w:docPartObj>
        <w:docPartGallery w:val="Page Numbers (Bottom of Page)"/>
        <w:docPartUnique/>
      </w:docPartObj>
    </w:sdtPr>
    <w:sdtEndPr/>
    <w:sdtContent>
      <w:p w:rsidR="001D5716" w:rsidRDefault="001D5716">
        <w:pPr>
          <w:pStyle w:val="Rodap"/>
          <w:jc w:val="right"/>
        </w:pPr>
        <w:r>
          <w:fldChar w:fldCharType="begin"/>
        </w:r>
        <w:r>
          <w:instrText>PAGE   \* MERGEFORMAT</w:instrText>
        </w:r>
        <w:r>
          <w:fldChar w:fldCharType="separate"/>
        </w:r>
        <w:r w:rsidR="003C2ABE">
          <w:rPr>
            <w:noProof/>
          </w:rPr>
          <w:t>4</w:t>
        </w:r>
        <w:r>
          <w:fldChar w:fldCharType="end"/>
        </w:r>
      </w:p>
    </w:sdtContent>
  </w:sdt>
  <w:p w:rsidR="001D5716" w:rsidRDefault="001D571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BE" w:rsidRDefault="003C2A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0AA" w:rsidRDefault="00FF30AA" w:rsidP="00F567FB">
      <w:r>
        <w:separator/>
      </w:r>
    </w:p>
  </w:footnote>
  <w:footnote w:type="continuationSeparator" w:id="0">
    <w:p w:rsidR="00FF30AA" w:rsidRDefault="00FF30AA" w:rsidP="00F56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BE" w:rsidRDefault="003C2AB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6" w:rsidRDefault="001D5716">
    <w:pPr>
      <w:pStyle w:val="Cabealho"/>
      <w:jc w:val="right"/>
    </w:pPr>
  </w:p>
  <w:p w:rsidR="001D5716" w:rsidRDefault="001D571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ABE" w:rsidRDefault="003C2A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1E56"/>
    <w:multiLevelType w:val="hybridMultilevel"/>
    <w:tmpl w:val="540A736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404C0F"/>
    <w:multiLevelType w:val="hybridMultilevel"/>
    <w:tmpl w:val="2C924B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8F2F4B"/>
    <w:multiLevelType w:val="hybridMultilevel"/>
    <w:tmpl w:val="12D844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F54CEF"/>
    <w:multiLevelType w:val="multilevel"/>
    <w:tmpl w:val="B7C696C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5248548B"/>
    <w:multiLevelType w:val="hybridMultilevel"/>
    <w:tmpl w:val="434E9B6E"/>
    <w:lvl w:ilvl="0" w:tplc="49FE19D2">
      <w:start w:val="1"/>
      <w:numFmt w:val="bullet"/>
      <w:lvlText w:val=""/>
      <w:lvlJc w:val="left"/>
      <w:pPr>
        <w:tabs>
          <w:tab w:val="num" w:pos="720"/>
        </w:tabs>
        <w:ind w:left="720" w:hanging="360"/>
      </w:pPr>
      <w:rPr>
        <w:rFonts w:ascii="Wingdings 2" w:hAnsi="Wingdings 2" w:hint="default"/>
      </w:rPr>
    </w:lvl>
    <w:lvl w:ilvl="1" w:tplc="014AE3A0" w:tentative="1">
      <w:start w:val="1"/>
      <w:numFmt w:val="bullet"/>
      <w:lvlText w:val=""/>
      <w:lvlJc w:val="left"/>
      <w:pPr>
        <w:tabs>
          <w:tab w:val="num" w:pos="1440"/>
        </w:tabs>
        <w:ind w:left="1440" w:hanging="360"/>
      </w:pPr>
      <w:rPr>
        <w:rFonts w:ascii="Wingdings 2" w:hAnsi="Wingdings 2" w:hint="default"/>
      </w:rPr>
    </w:lvl>
    <w:lvl w:ilvl="2" w:tplc="FDEE2AE8" w:tentative="1">
      <w:start w:val="1"/>
      <w:numFmt w:val="bullet"/>
      <w:lvlText w:val=""/>
      <w:lvlJc w:val="left"/>
      <w:pPr>
        <w:tabs>
          <w:tab w:val="num" w:pos="2160"/>
        </w:tabs>
        <w:ind w:left="2160" w:hanging="360"/>
      </w:pPr>
      <w:rPr>
        <w:rFonts w:ascii="Wingdings 2" w:hAnsi="Wingdings 2" w:hint="default"/>
      </w:rPr>
    </w:lvl>
    <w:lvl w:ilvl="3" w:tplc="88DE5520" w:tentative="1">
      <w:start w:val="1"/>
      <w:numFmt w:val="bullet"/>
      <w:lvlText w:val=""/>
      <w:lvlJc w:val="left"/>
      <w:pPr>
        <w:tabs>
          <w:tab w:val="num" w:pos="2880"/>
        </w:tabs>
        <w:ind w:left="2880" w:hanging="360"/>
      </w:pPr>
      <w:rPr>
        <w:rFonts w:ascii="Wingdings 2" w:hAnsi="Wingdings 2" w:hint="default"/>
      </w:rPr>
    </w:lvl>
    <w:lvl w:ilvl="4" w:tplc="0C9890E6" w:tentative="1">
      <w:start w:val="1"/>
      <w:numFmt w:val="bullet"/>
      <w:lvlText w:val=""/>
      <w:lvlJc w:val="left"/>
      <w:pPr>
        <w:tabs>
          <w:tab w:val="num" w:pos="3600"/>
        </w:tabs>
        <w:ind w:left="3600" w:hanging="360"/>
      </w:pPr>
      <w:rPr>
        <w:rFonts w:ascii="Wingdings 2" w:hAnsi="Wingdings 2" w:hint="default"/>
      </w:rPr>
    </w:lvl>
    <w:lvl w:ilvl="5" w:tplc="7102C2A0" w:tentative="1">
      <w:start w:val="1"/>
      <w:numFmt w:val="bullet"/>
      <w:lvlText w:val=""/>
      <w:lvlJc w:val="left"/>
      <w:pPr>
        <w:tabs>
          <w:tab w:val="num" w:pos="4320"/>
        </w:tabs>
        <w:ind w:left="4320" w:hanging="360"/>
      </w:pPr>
      <w:rPr>
        <w:rFonts w:ascii="Wingdings 2" w:hAnsi="Wingdings 2" w:hint="default"/>
      </w:rPr>
    </w:lvl>
    <w:lvl w:ilvl="6" w:tplc="28C0A7E8" w:tentative="1">
      <w:start w:val="1"/>
      <w:numFmt w:val="bullet"/>
      <w:lvlText w:val=""/>
      <w:lvlJc w:val="left"/>
      <w:pPr>
        <w:tabs>
          <w:tab w:val="num" w:pos="5040"/>
        </w:tabs>
        <w:ind w:left="5040" w:hanging="360"/>
      </w:pPr>
      <w:rPr>
        <w:rFonts w:ascii="Wingdings 2" w:hAnsi="Wingdings 2" w:hint="default"/>
      </w:rPr>
    </w:lvl>
    <w:lvl w:ilvl="7" w:tplc="1CE00CE6" w:tentative="1">
      <w:start w:val="1"/>
      <w:numFmt w:val="bullet"/>
      <w:lvlText w:val=""/>
      <w:lvlJc w:val="left"/>
      <w:pPr>
        <w:tabs>
          <w:tab w:val="num" w:pos="5760"/>
        </w:tabs>
        <w:ind w:left="5760" w:hanging="360"/>
      </w:pPr>
      <w:rPr>
        <w:rFonts w:ascii="Wingdings 2" w:hAnsi="Wingdings 2" w:hint="default"/>
      </w:rPr>
    </w:lvl>
    <w:lvl w:ilvl="8" w:tplc="51F6DE4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8533E54"/>
    <w:multiLevelType w:val="multilevel"/>
    <w:tmpl w:val="BC0E0BC0"/>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741BE5"/>
    <w:multiLevelType w:val="hybridMultilevel"/>
    <w:tmpl w:val="CA42C5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1E81E7B"/>
    <w:multiLevelType w:val="multilevel"/>
    <w:tmpl w:val="0870F91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FB1278"/>
    <w:multiLevelType w:val="hybridMultilevel"/>
    <w:tmpl w:val="2EEA1BDC"/>
    <w:lvl w:ilvl="0" w:tplc="B900C724">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num>
  <w:num w:numId="2">
    <w:abstractNumId w:val="4"/>
  </w:num>
  <w:num w:numId="3">
    <w:abstractNumId w:val="7"/>
  </w:num>
  <w:num w:numId="4">
    <w:abstractNumId w:val="5"/>
  </w:num>
  <w:num w:numId="5">
    <w:abstractNumId w:val="1"/>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A"/>
    <w:rsid w:val="00001EF0"/>
    <w:rsid w:val="00022C80"/>
    <w:rsid w:val="00024C7D"/>
    <w:rsid w:val="000264E6"/>
    <w:rsid w:val="000340C0"/>
    <w:rsid w:val="00040187"/>
    <w:rsid w:val="00040874"/>
    <w:rsid w:val="00044A80"/>
    <w:rsid w:val="00051BCD"/>
    <w:rsid w:val="00067DE7"/>
    <w:rsid w:val="000724A2"/>
    <w:rsid w:val="000769DF"/>
    <w:rsid w:val="00077A74"/>
    <w:rsid w:val="00081616"/>
    <w:rsid w:val="000818FF"/>
    <w:rsid w:val="000823D5"/>
    <w:rsid w:val="0009269B"/>
    <w:rsid w:val="000948DB"/>
    <w:rsid w:val="00094A55"/>
    <w:rsid w:val="000A3A89"/>
    <w:rsid w:val="000A63D0"/>
    <w:rsid w:val="000B28AE"/>
    <w:rsid w:val="000B4993"/>
    <w:rsid w:val="000B4A70"/>
    <w:rsid w:val="000B69BD"/>
    <w:rsid w:val="000B731D"/>
    <w:rsid w:val="000B7479"/>
    <w:rsid w:val="000C07C9"/>
    <w:rsid w:val="000C0E54"/>
    <w:rsid w:val="000C1791"/>
    <w:rsid w:val="000C1DD6"/>
    <w:rsid w:val="000C6792"/>
    <w:rsid w:val="000C760B"/>
    <w:rsid w:val="000D34F6"/>
    <w:rsid w:val="000D6024"/>
    <w:rsid w:val="000D7020"/>
    <w:rsid w:val="000E4E6F"/>
    <w:rsid w:val="000E6BEA"/>
    <w:rsid w:val="000E735B"/>
    <w:rsid w:val="000E75EA"/>
    <w:rsid w:val="000E7935"/>
    <w:rsid w:val="000F28D5"/>
    <w:rsid w:val="000F716E"/>
    <w:rsid w:val="0010226E"/>
    <w:rsid w:val="00113C90"/>
    <w:rsid w:val="00113F28"/>
    <w:rsid w:val="001146ED"/>
    <w:rsid w:val="0012086B"/>
    <w:rsid w:val="001208EF"/>
    <w:rsid w:val="001217F4"/>
    <w:rsid w:val="00123AB6"/>
    <w:rsid w:val="00123C49"/>
    <w:rsid w:val="001251A3"/>
    <w:rsid w:val="00126699"/>
    <w:rsid w:val="0014192B"/>
    <w:rsid w:val="00143172"/>
    <w:rsid w:val="0015349E"/>
    <w:rsid w:val="001558A1"/>
    <w:rsid w:val="001559C2"/>
    <w:rsid w:val="001654A0"/>
    <w:rsid w:val="00165DBA"/>
    <w:rsid w:val="00173FA0"/>
    <w:rsid w:val="00175918"/>
    <w:rsid w:val="00176876"/>
    <w:rsid w:val="001834D0"/>
    <w:rsid w:val="00185A66"/>
    <w:rsid w:val="001872AA"/>
    <w:rsid w:val="00193EBF"/>
    <w:rsid w:val="001951C0"/>
    <w:rsid w:val="001A07EF"/>
    <w:rsid w:val="001A097D"/>
    <w:rsid w:val="001A1F8B"/>
    <w:rsid w:val="001A2C78"/>
    <w:rsid w:val="001A3459"/>
    <w:rsid w:val="001A77DB"/>
    <w:rsid w:val="001B0075"/>
    <w:rsid w:val="001B072A"/>
    <w:rsid w:val="001B170B"/>
    <w:rsid w:val="001B1D25"/>
    <w:rsid w:val="001B27E4"/>
    <w:rsid w:val="001C1363"/>
    <w:rsid w:val="001C2439"/>
    <w:rsid w:val="001C5EE9"/>
    <w:rsid w:val="001C67D4"/>
    <w:rsid w:val="001D5716"/>
    <w:rsid w:val="001D5968"/>
    <w:rsid w:val="001D64B7"/>
    <w:rsid w:val="001E1CB5"/>
    <w:rsid w:val="00200C97"/>
    <w:rsid w:val="00200EE4"/>
    <w:rsid w:val="00206A59"/>
    <w:rsid w:val="00207652"/>
    <w:rsid w:val="002116F0"/>
    <w:rsid w:val="002127D9"/>
    <w:rsid w:val="00212FDD"/>
    <w:rsid w:val="002231DC"/>
    <w:rsid w:val="002302EC"/>
    <w:rsid w:val="00234F64"/>
    <w:rsid w:val="00240B99"/>
    <w:rsid w:val="002515A5"/>
    <w:rsid w:val="00252875"/>
    <w:rsid w:val="002545D0"/>
    <w:rsid w:val="002625B2"/>
    <w:rsid w:val="0027740B"/>
    <w:rsid w:val="00281659"/>
    <w:rsid w:val="00290874"/>
    <w:rsid w:val="00291487"/>
    <w:rsid w:val="0029319C"/>
    <w:rsid w:val="0029384F"/>
    <w:rsid w:val="00293EF2"/>
    <w:rsid w:val="00294D40"/>
    <w:rsid w:val="002A3502"/>
    <w:rsid w:val="002A75B4"/>
    <w:rsid w:val="002A7903"/>
    <w:rsid w:val="002B092A"/>
    <w:rsid w:val="002C22EE"/>
    <w:rsid w:val="002D5B47"/>
    <w:rsid w:val="002E3A4A"/>
    <w:rsid w:val="002E442E"/>
    <w:rsid w:val="002E7603"/>
    <w:rsid w:val="002F4335"/>
    <w:rsid w:val="002F575F"/>
    <w:rsid w:val="003009AD"/>
    <w:rsid w:val="00302D5C"/>
    <w:rsid w:val="00303B95"/>
    <w:rsid w:val="003061FB"/>
    <w:rsid w:val="0031550F"/>
    <w:rsid w:val="00321430"/>
    <w:rsid w:val="003216EA"/>
    <w:rsid w:val="00325ADA"/>
    <w:rsid w:val="00327C1C"/>
    <w:rsid w:val="00330075"/>
    <w:rsid w:val="00334722"/>
    <w:rsid w:val="00335FF3"/>
    <w:rsid w:val="00336F5D"/>
    <w:rsid w:val="00337641"/>
    <w:rsid w:val="00344F4F"/>
    <w:rsid w:val="0034669C"/>
    <w:rsid w:val="00352C93"/>
    <w:rsid w:val="0035436B"/>
    <w:rsid w:val="00361A0F"/>
    <w:rsid w:val="00363629"/>
    <w:rsid w:val="0036691B"/>
    <w:rsid w:val="003717F5"/>
    <w:rsid w:val="00371C3A"/>
    <w:rsid w:val="00372E6F"/>
    <w:rsid w:val="003747EA"/>
    <w:rsid w:val="00376809"/>
    <w:rsid w:val="00377C66"/>
    <w:rsid w:val="0038000A"/>
    <w:rsid w:val="00380E2B"/>
    <w:rsid w:val="003848EE"/>
    <w:rsid w:val="0039210B"/>
    <w:rsid w:val="003934C6"/>
    <w:rsid w:val="00395A5F"/>
    <w:rsid w:val="003A073F"/>
    <w:rsid w:val="003A2740"/>
    <w:rsid w:val="003A6605"/>
    <w:rsid w:val="003B628B"/>
    <w:rsid w:val="003B6957"/>
    <w:rsid w:val="003C25E4"/>
    <w:rsid w:val="003C2ABE"/>
    <w:rsid w:val="003C43AF"/>
    <w:rsid w:val="003C45CA"/>
    <w:rsid w:val="003D2132"/>
    <w:rsid w:val="003D6372"/>
    <w:rsid w:val="003E0048"/>
    <w:rsid w:val="003E0EA0"/>
    <w:rsid w:val="003E44F0"/>
    <w:rsid w:val="003E7202"/>
    <w:rsid w:val="003F0D06"/>
    <w:rsid w:val="003F0E02"/>
    <w:rsid w:val="003F0EC2"/>
    <w:rsid w:val="003F18F4"/>
    <w:rsid w:val="003F2B21"/>
    <w:rsid w:val="003F3C9A"/>
    <w:rsid w:val="003F469C"/>
    <w:rsid w:val="003F7E40"/>
    <w:rsid w:val="004002D2"/>
    <w:rsid w:val="00400C07"/>
    <w:rsid w:val="00400E16"/>
    <w:rsid w:val="00402C94"/>
    <w:rsid w:val="004054FE"/>
    <w:rsid w:val="00406E3C"/>
    <w:rsid w:val="0041176D"/>
    <w:rsid w:val="00413377"/>
    <w:rsid w:val="00414128"/>
    <w:rsid w:val="00415BFE"/>
    <w:rsid w:val="004160DE"/>
    <w:rsid w:val="00417347"/>
    <w:rsid w:val="00420ABD"/>
    <w:rsid w:val="004214FF"/>
    <w:rsid w:val="0042477B"/>
    <w:rsid w:val="004250EC"/>
    <w:rsid w:val="004315AD"/>
    <w:rsid w:val="004418DA"/>
    <w:rsid w:val="004430F5"/>
    <w:rsid w:val="00445999"/>
    <w:rsid w:val="0044771B"/>
    <w:rsid w:val="0045428A"/>
    <w:rsid w:val="0045540F"/>
    <w:rsid w:val="004576D6"/>
    <w:rsid w:val="004607EE"/>
    <w:rsid w:val="004648F8"/>
    <w:rsid w:val="00467872"/>
    <w:rsid w:val="00473A1F"/>
    <w:rsid w:val="00475E95"/>
    <w:rsid w:val="0048474A"/>
    <w:rsid w:val="00492212"/>
    <w:rsid w:val="004934FB"/>
    <w:rsid w:val="00495217"/>
    <w:rsid w:val="00497084"/>
    <w:rsid w:val="004A2F2E"/>
    <w:rsid w:val="004A414C"/>
    <w:rsid w:val="004A4B3E"/>
    <w:rsid w:val="004B2ADC"/>
    <w:rsid w:val="004B427B"/>
    <w:rsid w:val="004B45EE"/>
    <w:rsid w:val="004B4740"/>
    <w:rsid w:val="004C26B4"/>
    <w:rsid w:val="004D3DC5"/>
    <w:rsid w:val="004D4090"/>
    <w:rsid w:val="004D48CF"/>
    <w:rsid w:val="004D4E70"/>
    <w:rsid w:val="004D6050"/>
    <w:rsid w:val="004D7F86"/>
    <w:rsid w:val="004E28F5"/>
    <w:rsid w:val="004E4343"/>
    <w:rsid w:val="004E5E4E"/>
    <w:rsid w:val="004E656C"/>
    <w:rsid w:val="004F11AF"/>
    <w:rsid w:val="004F3049"/>
    <w:rsid w:val="0050600C"/>
    <w:rsid w:val="005105B4"/>
    <w:rsid w:val="005140D5"/>
    <w:rsid w:val="005156AE"/>
    <w:rsid w:val="005160C0"/>
    <w:rsid w:val="00516173"/>
    <w:rsid w:val="00516443"/>
    <w:rsid w:val="00517539"/>
    <w:rsid w:val="00523868"/>
    <w:rsid w:val="0052654A"/>
    <w:rsid w:val="00533C15"/>
    <w:rsid w:val="00542AB1"/>
    <w:rsid w:val="0054790C"/>
    <w:rsid w:val="005479DC"/>
    <w:rsid w:val="0055080D"/>
    <w:rsid w:val="00550ADB"/>
    <w:rsid w:val="005516DB"/>
    <w:rsid w:val="00551B9E"/>
    <w:rsid w:val="0055291D"/>
    <w:rsid w:val="00555C7E"/>
    <w:rsid w:val="00557B2D"/>
    <w:rsid w:val="00563BFC"/>
    <w:rsid w:val="00567F00"/>
    <w:rsid w:val="005759E7"/>
    <w:rsid w:val="00576408"/>
    <w:rsid w:val="0058245E"/>
    <w:rsid w:val="005875FE"/>
    <w:rsid w:val="005906BA"/>
    <w:rsid w:val="00592537"/>
    <w:rsid w:val="00593342"/>
    <w:rsid w:val="00593396"/>
    <w:rsid w:val="00594F0A"/>
    <w:rsid w:val="005A1384"/>
    <w:rsid w:val="005A3CB3"/>
    <w:rsid w:val="005A77CF"/>
    <w:rsid w:val="005B3252"/>
    <w:rsid w:val="005B48F3"/>
    <w:rsid w:val="005B79FC"/>
    <w:rsid w:val="005C0506"/>
    <w:rsid w:val="005C49CD"/>
    <w:rsid w:val="005C4AE9"/>
    <w:rsid w:val="005D1C3E"/>
    <w:rsid w:val="005D2D31"/>
    <w:rsid w:val="005E0A73"/>
    <w:rsid w:val="005E0BF0"/>
    <w:rsid w:val="005E194E"/>
    <w:rsid w:val="005E3DB2"/>
    <w:rsid w:val="005E5627"/>
    <w:rsid w:val="005E5DB1"/>
    <w:rsid w:val="005E62A7"/>
    <w:rsid w:val="005E6C11"/>
    <w:rsid w:val="005F5DA1"/>
    <w:rsid w:val="005F6844"/>
    <w:rsid w:val="00601BB9"/>
    <w:rsid w:val="00605611"/>
    <w:rsid w:val="00607E9D"/>
    <w:rsid w:val="00611D87"/>
    <w:rsid w:val="00617568"/>
    <w:rsid w:val="00621907"/>
    <w:rsid w:val="00621EF2"/>
    <w:rsid w:val="006266D8"/>
    <w:rsid w:val="006333FA"/>
    <w:rsid w:val="00634BC1"/>
    <w:rsid w:val="006371BF"/>
    <w:rsid w:val="00637FFE"/>
    <w:rsid w:val="00642493"/>
    <w:rsid w:val="00645476"/>
    <w:rsid w:val="0064715F"/>
    <w:rsid w:val="00647E4A"/>
    <w:rsid w:val="00651733"/>
    <w:rsid w:val="006527CF"/>
    <w:rsid w:val="0065442D"/>
    <w:rsid w:val="00660DB2"/>
    <w:rsid w:val="00664D7E"/>
    <w:rsid w:val="006676AE"/>
    <w:rsid w:val="006750B9"/>
    <w:rsid w:val="006772CF"/>
    <w:rsid w:val="006821DE"/>
    <w:rsid w:val="00683C98"/>
    <w:rsid w:val="00690F0A"/>
    <w:rsid w:val="006A4C69"/>
    <w:rsid w:val="006B21A0"/>
    <w:rsid w:val="006B23B9"/>
    <w:rsid w:val="006B280F"/>
    <w:rsid w:val="006B624C"/>
    <w:rsid w:val="006C1757"/>
    <w:rsid w:val="006C1C82"/>
    <w:rsid w:val="006C2BC2"/>
    <w:rsid w:val="006C63DD"/>
    <w:rsid w:val="006D00BE"/>
    <w:rsid w:val="006D0905"/>
    <w:rsid w:val="006D2364"/>
    <w:rsid w:val="006D320E"/>
    <w:rsid w:val="006D4727"/>
    <w:rsid w:val="006D5D78"/>
    <w:rsid w:val="006D76D8"/>
    <w:rsid w:val="006E0653"/>
    <w:rsid w:val="006E7581"/>
    <w:rsid w:val="006F1F66"/>
    <w:rsid w:val="007010EE"/>
    <w:rsid w:val="00701A22"/>
    <w:rsid w:val="0070508B"/>
    <w:rsid w:val="0070772A"/>
    <w:rsid w:val="00713268"/>
    <w:rsid w:val="00713977"/>
    <w:rsid w:val="00714E51"/>
    <w:rsid w:val="00720304"/>
    <w:rsid w:val="00720C20"/>
    <w:rsid w:val="00724038"/>
    <w:rsid w:val="007261A5"/>
    <w:rsid w:val="0072649F"/>
    <w:rsid w:val="00732005"/>
    <w:rsid w:val="007335A8"/>
    <w:rsid w:val="00733A15"/>
    <w:rsid w:val="00733C78"/>
    <w:rsid w:val="007351C5"/>
    <w:rsid w:val="00735CE6"/>
    <w:rsid w:val="007362D0"/>
    <w:rsid w:val="007367C5"/>
    <w:rsid w:val="00737137"/>
    <w:rsid w:val="0074145A"/>
    <w:rsid w:val="0074399E"/>
    <w:rsid w:val="00745920"/>
    <w:rsid w:val="007463AF"/>
    <w:rsid w:val="007478D3"/>
    <w:rsid w:val="00756864"/>
    <w:rsid w:val="00757258"/>
    <w:rsid w:val="007645FD"/>
    <w:rsid w:val="00773467"/>
    <w:rsid w:val="007734E6"/>
    <w:rsid w:val="00782917"/>
    <w:rsid w:val="00787A9C"/>
    <w:rsid w:val="0079103C"/>
    <w:rsid w:val="00793E90"/>
    <w:rsid w:val="007942F5"/>
    <w:rsid w:val="00796270"/>
    <w:rsid w:val="0079636A"/>
    <w:rsid w:val="00796609"/>
    <w:rsid w:val="007975A5"/>
    <w:rsid w:val="007A4767"/>
    <w:rsid w:val="007B1F68"/>
    <w:rsid w:val="007B3433"/>
    <w:rsid w:val="007C12D0"/>
    <w:rsid w:val="007C1389"/>
    <w:rsid w:val="007C1B22"/>
    <w:rsid w:val="007C3F18"/>
    <w:rsid w:val="007C6C1C"/>
    <w:rsid w:val="007D26FE"/>
    <w:rsid w:val="007E048C"/>
    <w:rsid w:val="007E3411"/>
    <w:rsid w:val="007E3FA6"/>
    <w:rsid w:val="007E4023"/>
    <w:rsid w:val="007E7FC4"/>
    <w:rsid w:val="007F2006"/>
    <w:rsid w:val="007F3296"/>
    <w:rsid w:val="007F3BA1"/>
    <w:rsid w:val="00804918"/>
    <w:rsid w:val="00804B0A"/>
    <w:rsid w:val="00807434"/>
    <w:rsid w:val="008141C1"/>
    <w:rsid w:val="008201AB"/>
    <w:rsid w:val="00821A2C"/>
    <w:rsid w:val="00822E28"/>
    <w:rsid w:val="0082405D"/>
    <w:rsid w:val="00824990"/>
    <w:rsid w:val="00825EF1"/>
    <w:rsid w:val="008276C7"/>
    <w:rsid w:val="00832303"/>
    <w:rsid w:val="00832665"/>
    <w:rsid w:val="00835BED"/>
    <w:rsid w:val="0083641B"/>
    <w:rsid w:val="008405A1"/>
    <w:rsid w:val="00841681"/>
    <w:rsid w:val="00842A26"/>
    <w:rsid w:val="00842B37"/>
    <w:rsid w:val="0084636C"/>
    <w:rsid w:val="00847684"/>
    <w:rsid w:val="00850F2B"/>
    <w:rsid w:val="00853F0A"/>
    <w:rsid w:val="0085773D"/>
    <w:rsid w:val="00861593"/>
    <w:rsid w:val="00866208"/>
    <w:rsid w:val="00867C68"/>
    <w:rsid w:val="0087006C"/>
    <w:rsid w:val="00872A7F"/>
    <w:rsid w:val="00873D14"/>
    <w:rsid w:val="00876D4B"/>
    <w:rsid w:val="00882E3E"/>
    <w:rsid w:val="0088513F"/>
    <w:rsid w:val="00885FB8"/>
    <w:rsid w:val="0089013A"/>
    <w:rsid w:val="00893EEC"/>
    <w:rsid w:val="00894194"/>
    <w:rsid w:val="00894469"/>
    <w:rsid w:val="008951FF"/>
    <w:rsid w:val="008A4821"/>
    <w:rsid w:val="008B62BE"/>
    <w:rsid w:val="008C37CD"/>
    <w:rsid w:val="008C5D76"/>
    <w:rsid w:val="008C743D"/>
    <w:rsid w:val="008D661A"/>
    <w:rsid w:val="008E1F12"/>
    <w:rsid w:val="008E3C1A"/>
    <w:rsid w:val="008E628E"/>
    <w:rsid w:val="008E6DE4"/>
    <w:rsid w:val="008F2BC8"/>
    <w:rsid w:val="008F5AC1"/>
    <w:rsid w:val="008F5DD3"/>
    <w:rsid w:val="008F61E8"/>
    <w:rsid w:val="00907C05"/>
    <w:rsid w:val="009108E0"/>
    <w:rsid w:val="009117C8"/>
    <w:rsid w:val="00911BF8"/>
    <w:rsid w:val="00911FDD"/>
    <w:rsid w:val="0091464C"/>
    <w:rsid w:val="00915186"/>
    <w:rsid w:val="00917FC1"/>
    <w:rsid w:val="00920431"/>
    <w:rsid w:val="009241EB"/>
    <w:rsid w:val="009253E0"/>
    <w:rsid w:val="00927984"/>
    <w:rsid w:val="00931259"/>
    <w:rsid w:val="00934298"/>
    <w:rsid w:val="00934410"/>
    <w:rsid w:val="0093599A"/>
    <w:rsid w:val="00936BFE"/>
    <w:rsid w:val="00941D87"/>
    <w:rsid w:val="009473DA"/>
    <w:rsid w:val="00950844"/>
    <w:rsid w:val="00951E57"/>
    <w:rsid w:val="00961FDB"/>
    <w:rsid w:val="00962F4B"/>
    <w:rsid w:val="00964A94"/>
    <w:rsid w:val="009664ED"/>
    <w:rsid w:val="009727F6"/>
    <w:rsid w:val="00976E8B"/>
    <w:rsid w:val="00981548"/>
    <w:rsid w:val="00987440"/>
    <w:rsid w:val="00990886"/>
    <w:rsid w:val="00991126"/>
    <w:rsid w:val="0099363A"/>
    <w:rsid w:val="009A71F6"/>
    <w:rsid w:val="009B086C"/>
    <w:rsid w:val="009B1B61"/>
    <w:rsid w:val="009B1D11"/>
    <w:rsid w:val="009B3433"/>
    <w:rsid w:val="009B5772"/>
    <w:rsid w:val="009B5AE0"/>
    <w:rsid w:val="009C102F"/>
    <w:rsid w:val="009C1CCA"/>
    <w:rsid w:val="009C3372"/>
    <w:rsid w:val="009C47B5"/>
    <w:rsid w:val="009C60FF"/>
    <w:rsid w:val="009D2B92"/>
    <w:rsid w:val="009D3FAB"/>
    <w:rsid w:val="009D4065"/>
    <w:rsid w:val="009D424B"/>
    <w:rsid w:val="009E066F"/>
    <w:rsid w:val="009E43C6"/>
    <w:rsid w:val="009E501F"/>
    <w:rsid w:val="009E5C62"/>
    <w:rsid w:val="009E612C"/>
    <w:rsid w:val="009E748D"/>
    <w:rsid w:val="009F1A90"/>
    <w:rsid w:val="009F26CC"/>
    <w:rsid w:val="009F2C4B"/>
    <w:rsid w:val="009F591F"/>
    <w:rsid w:val="009F70FD"/>
    <w:rsid w:val="00A0063E"/>
    <w:rsid w:val="00A03CC7"/>
    <w:rsid w:val="00A0566F"/>
    <w:rsid w:val="00A058C8"/>
    <w:rsid w:val="00A20177"/>
    <w:rsid w:val="00A23742"/>
    <w:rsid w:val="00A340F1"/>
    <w:rsid w:val="00A35B8D"/>
    <w:rsid w:val="00A362DA"/>
    <w:rsid w:val="00A42D7B"/>
    <w:rsid w:val="00A443EB"/>
    <w:rsid w:val="00A47A5A"/>
    <w:rsid w:val="00A509BC"/>
    <w:rsid w:val="00A52410"/>
    <w:rsid w:val="00A559A9"/>
    <w:rsid w:val="00A56D36"/>
    <w:rsid w:val="00A6352F"/>
    <w:rsid w:val="00A70540"/>
    <w:rsid w:val="00A705A5"/>
    <w:rsid w:val="00A7124A"/>
    <w:rsid w:val="00A713A2"/>
    <w:rsid w:val="00A7450A"/>
    <w:rsid w:val="00A749BB"/>
    <w:rsid w:val="00A75884"/>
    <w:rsid w:val="00A83F8D"/>
    <w:rsid w:val="00A84D52"/>
    <w:rsid w:val="00A8669A"/>
    <w:rsid w:val="00A93089"/>
    <w:rsid w:val="00A94229"/>
    <w:rsid w:val="00A964D6"/>
    <w:rsid w:val="00A97037"/>
    <w:rsid w:val="00AA310B"/>
    <w:rsid w:val="00AA3524"/>
    <w:rsid w:val="00AA557A"/>
    <w:rsid w:val="00AA6E56"/>
    <w:rsid w:val="00AA784F"/>
    <w:rsid w:val="00AA7A16"/>
    <w:rsid w:val="00AB215E"/>
    <w:rsid w:val="00AB556E"/>
    <w:rsid w:val="00AC30DE"/>
    <w:rsid w:val="00AC3568"/>
    <w:rsid w:val="00AD2B23"/>
    <w:rsid w:val="00AE2337"/>
    <w:rsid w:val="00AF1113"/>
    <w:rsid w:val="00AF13BF"/>
    <w:rsid w:val="00AF1A8C"/>
    <w:rsid w:val="00AF43D4"/>
    <w:rsid w:val="00B06399"/>
    <w:rsid w:val="00B104B6"/>
    <w:rsid w:val="00B14468"/>
    <w:rsid w:val="00B156BE"/>
    <w:rsid w:val="00B16280"/>
    <w:rsid w:val="00B175AC"/>
    <w:rsid w:val="00B24F1A"/>
    <w:rsid w:val="00B2515B"/>
    <w:rsid w:val="00B26A05"/>
    <w:rsid w:val="00B272AA"/>
    <w:rsid w:val="00B279F2"/>
    <w:rsid w:val="00B32ACD"/>
    <w:rsid w:val="00B400E0"/>
    <w:rsid w:val="00B4102D"/>
    <w:rsid w:val="00B46775"/>
    <w:rsid w:val="00B53BD5"/>
    <w:rsid w:val="00B543AA"/>
    <w:rsid w:val="00B550B6"/>
    <w:rsid w:val="00B57A02"/>
    <w:rsid w:val="00B6145B"/>
    <w:rsid w:val="00B64DE7"/>
    <w:rsid w:val="00B66239"/>
    <w:rsid w:val="00B6750A"/>
    <w:rsid w:val="00B75561"/>
    <w:rsid w:val="00B7569C"/>
    <w:rsid w:val="00B824EC"/>
    <w:rsid w:val="00B91E1D"/>
    <w:rsid w:val="00B93DF5"/>
    <w:rsid w:val="00B960FB"/>
    <w:rsid w:val="00BA1199"/>
    <w:rsid w:val="00BA11C6"/>
    <w:rsid w:val="00BA22F9"/>
    <w:rsid w:val="00BA4600"/>
    <w:rsid w:val="00BA6CF6"/>
    <w:rsid w:val="00BA766C"/>
    <w:rsid w:val="00BC27BF"/>
    <w:rsid w:val="00BC7BB5"/>
    <w:rsid w:val="00BE0F42"/>
    <w:rsid w:val="00BE1003"/>
    <w:rsid w:val="00BE160E"/>
    <w:rsid w:val="00BE74E0"/>
    <w:rsid w:val="00BF0ADB"/>
    <w:rsid w:val="00BF40F8"/>
    <w:rsid w:val="00BF6D84"/>
    <w:rsid w:val="00C00985"/>
    <w:rsid w:val="00C01B66"/>
    <w:rsid w:val="00C024DC"/>
    <w:rsid w:val="00C04D50"/>
    <w:rsid w:val="00C04E21"/>
    <w:rsid w:val="00C12CFE"/>
    <w:rsid w:val="00C13966"/>
    <w:rsid w:val="00C14ADE"/>
    <w:rsid w:val="00C2372A"/>
    <w:rsid w:val="00C238E4"/>
    <w:rsid w:val="00C3197C"/>
    <w:rsid w:val="00C33112"/>
    <w:rsid w:val="00C33BE6"/>
    <w:rsid w:val="00C33DFE"/>
    <w:rsid w:val="00C36FB3"/>
    <w:rsid w:val="00C44F37"/>
    <w:rsid w:val="00C4769C"/>
    <w:rsid w:val="00C521C7"/>
    <w:rsid w:val="00C537C0"/>
    <w:rsid w:val="00C56E97"/>
    <w:rsid w:val="00C64519"/>
    <w:rsid w:val="00C7013C"/>
    <w:rsid w:val="00C704C0"/>
    <w:rsid w:val="00C71E52"/>
    <w:rsid w:val="00C722AC"/>
    <w:rsid w:val="00C72387"/>
    <w:rsid w:val="00C75973"/>
    <w:rsid w:val="00C84845"/>
    <w:rsid w:val="00C860B5"/>
    <w:rsid w:val="00C868A2"/>
    <w:rsid w:val="00C9688F"/>
    <w:rsid w:val="00C974A0"/>
    <w:rsid w:val="00C977F3"/>
    <w:rsid w:val="00CA0586"/>
    <w:rsid w:val="00CA3846"/>
    <w:rsid w:val="00CA4A1D"/>
    <w:rsid w:val="00CA7C1C"/>
    <w:rsid w:val="00CB0027"/>
    <w:rsid w:val="00CB3BFF"/>
    <w:rsid w:val="00CB6390"/>
    <w:rsid w:val="00CB78A1"/>
    <w:rsid w:val="00CC00EA"/>
    <w:rsid w:val="00CC3299"/>
    <w:rsid w:val="00CC3519"/>
    <w:rsid w:val="00CD0853"/>
    <w:rsid w:val="00CD4B19"/>
    <w:rsid w:val="00CD5B78"/>
    <w:rsid w:val="00CE69C7"/>
    <w:rsid w:val="00CE7A8F"/>
    <w:rsid w:val="00CF0A5B"/>
    <w:rsid w:val="00CF128B"/>
    <w:rsid w:val="00D054B9"/>
    <w:rsid w:val="00D07674"/>
    <w:rsid w:val="00D1335C"/>
    <w:rsid w:val="00D13375"/>
    <w:rsid w:val="00D15331"/>
    <w:rsid w:val="00D20720"/>
    <w:rsid w:val="00D270E0"/>
    <w:rsid w:val="00D275E3"/>
    <w:rsid w:val="00D3092D"/>
    <w:rsid w:val="00D30CE9"/>
    <w:rsid w:val="00D36884"/>
    <w:rsid w:val="00D44ED4"/>
    <w:rsid w:val="00D50866"/>
    <w:rsid w:val="00D51436"/>
    <w:rsid w:val="00D51D1D"/>
    <w:rsid w:val="00D53562"/>
    <w:rsid w:val="00D53F89"/>
    <w:rsid w:val="00D54894"/>
    <w:rsid w:val="00D54A08"/>
    <w:rsid w:val="00D57B64"/>
    <w:rsid w:val="00D63ED7"/>
    <w:rsid w:val="00D64236"/>
    <w:rsid w:val="00D74CBA"/>
    <w:rsid w:val="00D7767B"/>
    <w:rsid w:val="00D80435"/>
    <w:rsid w:val="00D91572"/>
    <w:rsid w:val="00D953B9"/>
    <w:rsid w:val="00DA4671"/>
    <w:rsid w:val="00DA5C6F"/>
    <w:rsid w:val="00DA6290"/>
    <w:rsid w:val="00DB1136"/>
    <w:rsid w:val="00DB24F8"/>
    <w:rsid w:val="00DB3B15"/>
    <w:rsid w:val="00DB6E03"/>
    <w:rsid w:val="00DC15AD"/>
    <w:rsid w:val="00DC192C"/>
    <w:rsid w:val="00DC75A8"/>
    <w:rsid w:val="00DD4D7E"/>
    <w:rsid w:val="00DD4FB3"/>
    <w:rsid w:val="00DD7B6C"/>
    <w:rsid w:val="00DE019D"/>
    <w:rsid w:val="00DE1490"/>
    <w:rsid w:val="00DE3E50"/>
    <w:rsid w:val="00DE5A89"/>
    <w:rsid w:val="00DE7416"/>
    <w:rsid w:val="00DF1E7C"/>
    <w:rsid w:val="00DF20A7"/>
    <w:rsid w:val="00DF2DCF"/>
    <w:rsid w:val="00DF65A4"/>
    <w:rsid w:val="00DF7BBE"/>
    <w:rsid w:val="00E02E77"/>
    <w:rsid w:val="00E042BA"/>
    <w:rsid w:val="00E14479"/>
    <w:rsid w:val="00E1639D"/>
    <w:rsid w:val="00E17A96"/>
    <w:rsid w:val="00E209CB"/>
    <w:rsid w:val="00E212AC"/>
    <w:rsid w:val="00E22E34"/>
    <w:rsid w:val="00E2668A"/>
    <w:rsid w:val="00E27FAB"/>
    <w:rsid w:val="00E31E1B"/>
    <w:rsid w:val="00E376DD"/>
    <w:rsid w:val="00E45676"/>
    <w:rsid w:val="00E46FE2"/>
    <w:rsid w:val="00E51427"/>
    <w:rsid w:val="00E52CC9"/>
    <w:rsid w:val="00E54FC8"/>
    <w:rsid w:val="00E56FCB"/>
    <w:rsid w:val="00E57079"/>
    <w:rsid w:val="00E60CE4"/>
    <w:rsid w:val="00E63B7C"/>
    <w:rsid w:val="00E673DE"/>
    <w:rsid w:val="00E67B98"/>
    <w:rsid w:val="00E70A4B"/>
    <w:rsid w:val="00E72470"/>
    <w:rsid w:val="00E7387A"/>
    <w:rsid w:val="00E745F9"/>
    <w:rsid w:val="00E747DC"/>
    <w:rsid w:val="00E827D9"/>
    <w:rsid w:val="00E90079"/>
    <w:rsid w:val="00E959E9"/>
    <w:rsid w:val="00EA5578"/>
    <w:rsid w:val="00EB0986"/>
    <w:rsid w:val="00EB3627"/>
    <w:rsid w:val="00EC0A14"/>
    <w:rsid w:val="00EC0FE1"/>
    <w:rsid w:val="00EC1DC6"/>
    <w:rsid w:val="00EC45A8"/>
    <w:rsid w:val="00EC5BBB"/>
    <w:rsid w:val="00EC7599"/>
    <w:rsid w:val="00ED38B5"/>
    <w:rsid w:val="00ED5091"/>
    <w:rsid w:val="00ED7A60"/>
    <w:rsid w:val="00EE05DE"/>
    <w:rsid w:val="00EE08F0"/>
    <w:rsid w:val="00EE1D29"/>
    <w:rsid w:val="00EE2CCD"/>
    <w:rsid w:val="00EE5D92"/>
    <w:rsid w:val="00EE5F5B"/>
    <w:rsid w:val="00EF05DF"/>
    <w:rsid w:val="00EF11D5"/>
    <w:rsid w:val="00EF239D"/>
    <w:rsid w:val="00EF286B"/>
    <w:rsid w:val="00EF2E1A"/>
    <w:rsid w:val="00EF43F0"/>
    <w:rsid w:val="00EF5EDE"/>
    <w:rsid w:val="00F0679D"/>
    <w:rsid w:val="00F07017"/>
    <w:rsid w:val="00F165D2"/>
    <w:rsid w:val="00F24967"/>
    <w:rsid w:val="00F25C06"/>
    <w:rsid w:val="00F3341F"/>
    <w:rsid w:val="00F3370E"/>
    <w:rsid w:val="00F36360"/>
    <w:rsid w:val="00F42B72"/>
    <w:rsid w:val="00F4412B"/>
    <w:rsid w:val="00F50AC2"/>
    <w:rsid w:val="00F51A4C"/>
    <w:rsid w:val="00F51BA2"/>
    <w:rsid w:val="00F53AB0"/>
    <w:rsid w:val="00F54D13"/>
    <w:rsid w:val="00F567FB"/>
    <w:rsid w:val="00F64C3B"/>
    <w:rsid w:val="00F6666A"/>
    <w:rsid w:val="00F671F8"/>
    <w:rsid w:val="00F71221"/>
    <w:rsid w:val="00F71A3E"/>
    <w:rsid w:val="00F72627"/>
    <w:rsid w:val="00F74C11"/>
    <w:rsid w:val="00F80F1F"/>
    <w:rsid w:val="00F813B0"/>
    <w:rsid w:val="00F82F7F"/>
    <w:rsid w:val="00F841FB"/>
    <w:rsid w:val="00F84BA6"/>
    <w:rsid w:val="00F85B54"/>
    <w:rsid w:val="00F863D8"/>
    <w:rsid w:val="00F90ACB"/>
    <w:rsid w:val="00F92107"/>
    <w:rsid w:val="00F95E0D"/>
    <w:rsid w:val="00F974F8"/>
    <w:rsid w:val="00FA38B7"/>
    <w:rsid w:val="00FA41D3"/>
    <w:rsid w:val="00FA563B"/>
    <w:rsid w:val="00FA6428"/>
    <w:rsid w:val="00FA7E6D"/>
    <w:rsid w:val="00FB3472"/>
    <w:rsid w:val="00FB3EF2"/>
    <w:rsid w:val="00FB5D5B"/>
    <w:rsid w:val="00FB5F54"/>
    <w:rsid w:val="00FB603A"/>
    <w:rsid w:val="00FB7686"/>
    <w:rsid w:val="00FB7972"/>
    <w:rsid w:val="00FC6DC5"/>
    <w:rsid w:val="00FD27FD"/>
    <w:rsid w:val="00FD52B9"/>
    <w:rsid w:val="00FD5AA1"/>
    <w:rsid w:val="00FE0C0A"/>
    <w:rsid w:val="00FE13C4"/>
    <w:rsid w:val="00FE531F"/>
    <w:rsid w:val="00FE674A"/>
    <w:rsid w:val="00FE7B0E"/>
    <w:rsid w:val="00FF14E7"/>
    <w:rsid w:val="00FF30AA"/>
    <w:rsid w:val="00FF4599"/>
    <w:rsid w:val="00FF7042"/>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85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7124A"/>
    <w:pPr>
      <w:ind w:firstLine="709"/>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A7124A"/>
    <w:pPr>
      <w:keepNext/>
      <w:keepLines/>
      <w:numPr>
        <w:numId w:val="1"/>
      </w:numPr>
      <w:spacing w:before="280"/>
      <w:outlineLvl w:val="0"/>
    </w:pPr>
    <w:rPr>
      <w:rFonts w:eastAsia="Times New Roman"/>
      <w:b/>
      <w:bCs/>
      <w:caps/>
      <w:szCs w:val="28"/>
      <w:lang w:val="x-none" w:eastAsia="x-none"/>
    </w:rPr>
  </w:style>
  <w:style w:type="paragraph" w:styleId="Ttulo2">
    <w:name w:val="heading 2"/>
    <w:basedOn w:val="Normal"/>
    <w:next w:val="Normal"/>
    <w:link w:val="Ttulo2Char"/>
    <w:uiPriority w:val="9"/>
    <w:unhideWhenUsed/>
    <w:qFormat/>
    <w:rsid w:val="00A7124A"/>
    <w:pPr>
      <w:keepNext/>
      <w:keepLines/>
      <w:numPr>
        <w:ilvl w:val="1"/>
        <w:numId w:val="1"/>
      </w:numPr>
      <w:spacing w:before="280"/>
      <w:outlineLvl w:val="1"/>
    </w:pPr>
    <w:rPr>
      <w:rFonts w:eastAsia="Times New Roman"/>
      <w:b/>
      <w:bCs/>
      <w:szCs w:val="26"/>
      <w:lang w:val="x-none" w:eastAsia="x-none"/>
    </w:rPr>
  </w:style>
  <w:style w:type="paragraph" w:styleId="Ttulo3">
    <w:name w:val="heading 3"/>
    <w:basedOn w:val="Normal"/>
    <w:next w:val="Normal"/>
    <w:link w:val="Ttulo3Char"/>
    <w:uiPriority w:val="9"/>
    <w:unhideWhenUsed/>
    <w:qFormat/>
    <w:rsid w:val="00A7124A"/>
    <w:pPr>
      <w:keepNext/>
      <w:keepLines/>
      <w:numPr>
        <w:ilvl w:val="2"/>
        <w:numId w:val="1"/>
      </w:numPr>
      <w:spacing w:before="200"/>
      <w:outlineLvl w:val="2"/>
    </w:pPr>
    <w:rPr>
      <w:rFonts w:ascii="Cambria" w:eastAsia="Times New Roman" w:hAnsi="Cambria"/>
      <w:b/>
      <w:bCs/>
      <w:color w:val="4F81BD"/>
      <w:szCs w:val="20"/>
      <w:lang w:val="x-none" w:eastAsia="x-none"/>
    </w:rPr>
  </w:style>
  <w:style w:type="paragraph" w:styleId="Ttulo4">
    <w:name w:val="heading 4"/>
    <w:basedOn w:val="Normal"/>
    <w:next w:val="Normal"/>
    <w:link w:val="Ttulo4Char"/>
    <w:uiPriority w:val="9"/>
    <w:semiHidden/>
    <w:unhideWhenUsed/>
    <w:qFormat/>
    <w:rsid w:val="00A7124A"/>
    <w:pPr>
      <w:keepNext/>
      <w:keepLines/>
      <w:numPr>
        <w:ilvl w:val="3"/>
        <w:numId w:val="1"/>
      </w:numPr>
      <w:spacing w:before="200"/>
      <w:outlineLvl w:val="3"/>
    </w:pPr>
    <w:rPr>
      <w:rFonts w:ascii="Cambria" w:eastAsia="Times New Roman" w:hAnsi="Cambria"/>
      <w:b/>
      <w:bCs/>
      <w:i/>
      <w:iCs/>
      <w:color w:val="4F81BD"/>
      <w:szCs w:val="20"/>
      <w:lang w:val="x-none" w:eastAsia="x-none"/>
    </w:rPr>
  </w:style>
  <w:style w:type="paragraph" w:styleId="Ttulo5">
    <w:name w:val="heading 5"/>
    <w:basedOn w:val="Normal"/>
    <w:next w:val="Normal"/>
    <w:link w:val="Ttulo5Char"/>
    <w:uiPriority w:val="9"/>
    <w:semiHidden/>
    <w:unhideWhenUsed/>
    <w:qFormat/>
    <w:rsid w:val="00A7124A"/>
    <w:pPr>
      <w:keepNext/>
      <w:keepLines/>
      <w:numPr>
        <w:ilvl w:val="4"/>
        <w:numId w:val="1"/>
      </w:numPr>
      <w:spacing w:before="200"/>
      <w:outlineLvl w:val="4"/>
    </w:pPr>
    <w:rPr>
      <w:rFonts w:ascii="Cambria" w:eastAsia="Times New Roman" w:hAnsi="Cambria"/>
      <w:color w:val="243F60"/>
      <w:szCs w:val="20"/>
      <w:lang w:val="x-none" w:eastAsia="x-none"/>
    </w:rPr>
  </w:style>
  <w:style w:type="paragraph" w:styleId="Ttulo6">
    <w:name w:val="heading 6"/>
    <w:basedOn w:val="Normal"/>
    <w:next w:val="Normal"/>
    <w:link w:val="Ttulo6Char"/>
    <w:uiPriority w:val="9"/>
    <w:semiHidden/>
    <w:unhideWhenUsed/>
    <w:qFormat/>
    <w:rsid w:val="00A7124A"/>
    <w:pPr>
      <w:keepNext/>
      <w:keepLines/>
      <w:numPr>
        <w:ilvl w:val="5"/>
        <w:numId w:val="1"/>
      </w:numPr>
      <w:spacing w:before="200"/>
      <w:outlineLvl w:val="5"/>
    </w:pPr>
    <w:rPr>
      <w:rFonts w:ascii="Cambria" w:eastAsia="Times New Roman" w:hAnsi="Cambria"/>
      <w:i/>
      <w:iCs/>
      <w:color w:val="243F60"/>
      <w:szCs w:val="20"/>
      <w:lang w:val="x-none" w:eastAsia="x-none"/>
    </w:rPr>
  </w:style>
  <w:style w:type="paragraph" w:styleId="Ttulo7">
    <w:name w:val="heading 7"/>
    <w:basedOn w:val="Normal"/>
    <w:next w:val="Normal"/>
    <w:link w:val="Ttulo7Char"/>
    <w:uiPriority w:val="9"/>
    <w:semiHidden/>
    <w:unhideWhenUsed/>
    <w:qFormat/>
    <w:rsid w:val="00A7124A"/>
    <w:pPr>
      <w:keepNext/>
      <w:keepLines/>
      <w:numPr>
        <w:ilvl w:val="6"/>
        <w:numId w:val="1"/>
      </w:numPr>
      <w:spacing w:before="200"/>
      <w:outlineLvl w:val="6"/>
    </w:pPr>
    <w:rPr>
      <w:rFonts w:ascii="Cambria" w:eastAsia="Times New Roman" w:hAnsi="Cambria"/>
      <w:i/>
      <w:iCs/>
      <w:color w:val="404040"/>
      <w:szCs w:val="20"/>
      <w:lang w:val="x-none" w:eastAsia="x-none"/>
    </w:rPr>
  </w:style>
  <w:style w:type="paragraph" w:styleId="Ttulo8">
    <w:name w:val="heading 8"/>
    <w:basedOn w:val="Normal"/>
    <w:next w:val="Normal"/>
    <w:link w:val="Ttulo8Char"/>
    <w:uiPriority w:val="9"/>
    <w:semiHidden/>
    <w:unhideWhenUsed/>
    <w:qFormat/>
    <w:rsid w:val="00A7124A"/>
    <w:pPr>
      <w:keepNext/>
      <w:keepLines/>
      <w:numPr>
        <w:ilvl w:val="7"/>
        <w:numId w:val="1"/>
      </w:numPr>
      <w:spacing w:before="200"/>
      <w:outlineLvl w:val="7"/>
    </w:pPr>
    <w:rPr>
      <w:rFonts w:ascii="Cambria" w:eastAsia="Times New Roman" w:hAnsi="Cambria"/>
      <w:color w:val="404040"/>
      <w:sz w:val="20"/>
      <w:szCs w:val="20"/>
      <w:lang w:val="x-none" w:eastAsia="x-none"/>
    </w:rPr>
  </w:style>
  <w:style w:type="paragraph" w:styleId="Ttulo9">
    <w:name w:val="heading 9"/>
    <w:basedOn w:val="Normal"/>
    <w:next w:val="Normal"/>
    <w:link w:val="Ttulo9Char"/>
    <w:uiPriority w:val="9"/>
    <w:semiHidden/>
    <w:unhideWhenUsed/>
    <w:qFormat/>
    <w:rsid w:val="00A7124A"/>
    <w:pPr>
      <w:keepNext/>
      <w:keepLines/>
      <w:numPr>
        <w:ilvl w:val="8"/>
        <w:numId w:val="1"/>
      </w:numPr>
      <w:spacing w:before="200"/>
      <w:outlineLvl w:val="8"/>
    </w:pPr>
    <w:rPr>
      <w:rFonts w:ascii="Cambria" w:eastAsia="Times New Roman" w:hAnsi="Cambria"/>
      <w:i/>
      <w:iCs/>
      <w:color w:val="40404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A7124A"/>
    <w:rPr>
      <w:rFonts w:ascii="Times New Roman" w:eastAsia="Times New Roman" w:hAnsi="Times New Roman" w:cs="Times New Roman"/>
      <w:b/>
      <w:bCs/>
      <w:caps/>
      <w:sz w:val="24"/>
      <w:szCs w:val="28"/>
    </w:rPr>
  </w:style>
  <w:style w:type="character" w:customStyle="1" w:styleId="Ttulo2Char">
    <w:name w:val="Título 2 Char"/>
    <w:link w:val="Ttulo2"/>
    <w:uiPriority w:val="9"/>
    <w:rsid w:val="00A7124A"/>
    <w:rPr>
      <w:rFonts w:ascii="Times New Roman" w:eastAsia="Times New Roman" w:hAnsi="Times New Roman" w:cs="Times New Roman"/>
      <w:b/>
      <w:bCs/>
      <w:sz w:val="24"/>
      <w:szCs w:val="26"/>
    </w:rPr>
  </w:style>
  <w:style w:type="character" w:customStyle="1" w:styleId="Ttulo3Char">
    <w:name w:val="Título 3 Char"/>
    <w:link w:val="Ttulo3"/>
    <w:uiPriority w:val="9"/>
    <w:rsid w:val="00A7124A"/>
    <w:rPr>
      <w:rFonts w:ascii="Cambria" w:eastAsia="Times New Roman" w:hAnsi="Cambria" w:cs="Times New Roman"/>
      <w:b/>
      <w:bCs/>
      <w:color w:val="4F81BD"/>
      <w:sz w:val="24"/>
    </w:rPr>
  </w:style>
  <w:style w:type="character" w:customStyle="1" w:styleId="Ttulo4Char">
    <w:name w:val="Título 4 Char"/>
    <w:link w:val="Ttulo4"/>
    <w:uiPriority w:val="9"/>
    <w:semiHidden/>
    <w:rsid w:val="00A7124A"/>
    <w:rPr>
      <w:rFonts w:ascii="Cambria" w:eastAsia="Times New Roman" w:hAnsi="Cambria" w:cs="Times New Roman"/>
      <w:b/>
      <w:bCs/>
      <w:i/>
      <w:iCs/>
      <w:color w:val="4F81BD"/>
      <w:sz w:val="24"/>
    </w:rPr>
  </w:style>
  <w:style w:type="character" w:customStyle="1" w:styleId="Ttulo5Char">
    <w:name w:val="Título 5 Char"/>
    <w:link w:val="Ttulo5"/>
    <w:uiPriority w:val="9"/>
    <w:semiHidden/>
    <w:rsid w:val="00A7124A"/>
    <w:rPr>
      <w:rFonts w:ascii="Cambria" w:eastAsia="Times New Roman" w:hAnsi="Cambria" w:cs="Times New Roman"/>
      <w:color w:val="243F60"/>
      <w:sz w:val="24"/>
    </w:rPr>
  </w:style>
  <w:style w:type="character" w:customStyle="1" w:styleId="Ttulo6Char">
    <w:name w:val="Título 6 Char"/>
    <w:link w:val="Ttulo6"/>
    <w:uiPriority w:val="9"/>
    <w:semiHidden/>
    <w:rsid w:val="00A7124A"/>
    <w:rPr>
      <w:rFonts w:ascii="Cambria" w:eastAsia="Times New Roman" w:hAnsi="Cambria" w:cs="Times New Roman"/>
      <w:i/>
      <w:iCs/>
      <w:color w:val="243F60"/>
      <w:sz w:val="24"/>
    </w:rPr>
  </w:style>
  <w:style w:type="character" w:customStyle="1" w:styleId="Ttulo7Char">
    <w:name w:val="Título 7 Char"/>
    <w:link w:val="Ttulo7"/>
    <w:uiPriority w:val="9"/>
    <w:semiHidden/>
    <w:rsid w:val="00A7124A"/>
    <w:rPr>
      <w:rFonts w:ascii="Cambria" w:eastAsia="Times New Roman" w:hAnsi="Cambria" w:cs="Times New Roman"/>
      <w:i/>
      <w:iCs/>
      <w:color w:val="404040"/>
      <w:sz w:val="24"/>
    </w:rPr>
  </w:style>
  <w:style w:type="character" w:customStyle="1" w:styleId="Ttulo8Char">
    <w:name w:val="Título 8 Char"/>
    <w:link w:val="Ttulo8"/>
    <w:uiPriority w:val="9"/>
    <w:semiHidden/>
    <w:rsid w:val="00A7124A"/>
    <w:rPr>
      <w:rFonts w:ascii="Cambria" w:eastAsia="Times New Roman" w:hAnsi="Cambria" w:cs="Times New Roman"/>
      <w:color w:val="404040"/>
      <w:sz w:val="20"/>
      <w:szCs w:val="20"/>
    </w:rPr>
  </w:style>
  <w:style w:type="character" w:customStyle="1" w:styleId="Ttulo9Char">
    <w:name w:val="Título 9 Char"/>
    <w:link w:val="Ttulo9"/>
    <w:uiPriority w:val="9"/>
    <w:semiHidden/>
    <w:rsid w:val="00A7124A"/>
    <w:rPr>
      <w:rFonts w:ascii="Cambria" w:eastAsia="Times New Roman" w:hAnsi="Cambria" w:cs="Times New Roman"/>
      <w:i/>
      <w:iCs/>
      <w:color w:val="404040"/>
      <w:sz w:val="20"/>
      <w:szCs w:val="20"/>
    </w:rPr>
  </w:style>
  <w:style w:type="paragraph" w:styleId="PargrafodaLista">
    <w:name w:val="List Paragraph"/>
    <w:basedOn w:val="Normal"/>
    <w:uiPriority w:val="34"/>
    <w:qFormat/>
    <w:rsid w:val="009C102F"/>
    <w:pPr>
      <w:ind w:left="720"/>
      <w:contextualSpacing/>
    </w:pPr>
    <w:rPr>
      <w:rFonts w:eastAsia="Times New Roman"/>
      <w:szCs w:val="24"/>
      <w:lang w:eastAsia="pt-BR"/>
    </w:rPr>
  </w:style>
  <w:style w:type="paragraph" w:customStyle="1" w:styleId="Default">
    <w:name w:val="Default"/>
    <w:rsid w:val="00400C07"/>
    <w:pPr>
      <w:autoSpaceDE w:val="0"/>
      <w:autoSpaceDN w:val="0"/>
      <w:adjustRightInd w:val="0"/>
    </w:pPr>
    <w:rPr>
      <w:rFonts w:ascii="Palatino Linotype" w:hAnsi="Palatino Linotype" w:cs="Palatino Linotype"/>
      <w:color w:val="000000"/>
      <w:sz w:val="24"/>
      <w:szCs w:val="24"/>
    </w:rPr>
  </w:style>
  <w:style w:type="character" w:styleId="Hyperlink">
    <w:name w:val="Hyperlink"/>
    <w:uiPriority w:val="99"/>
    <w:unhideWhenUsed/>
    <w:rsid w:val="00961FDB"/>
    <w:rPr>
      <w:color w:val="0000FF"/>
      <w:u w:val="single"/>
    </w:rPr>
  </w:style>
  <w:style w:type="table" w:styleId="Tabelacomgrade">
    <w:name w:val="Table Grid"/>
    <w:basedOn w:val="Tabelanormal"/>
    <w:uiPriority w:val="39"/>
    <w:rsid w:val="004F1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ocorpo2">
    <w:name w:val="Texto do corpo (2)_"/>
    <w:link w:val="Textodocorpo20"/>
    <w:rsid w:val="00C868A2"/>
    <w:rPr>
      <w:rFonts w:ascii="Palatino Linotype" w:eastAsia="Palatino Linotype" w:hAnsi="Palatino Linotype" w:cs="Palatino Linotype"/>
      <w:shd w:val="clear" w:color="auto" w:fill="FFFFFF"/>
    </w:rPr>
  </w:style>
  <w:style w:type="character" w:customStyle="1" w:styleId="Textodocorpo285pt">
    <w:name w:val="Texto do corpo (2) + 8;5 pt"/>
    <w:rsid w:val="00C868A2"/>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pt-BR" w:eastAsia="pt-BR" w:bidi="pt-BR"/>
    </w:rPr>
  </w:style>
  <w:style w:type="paragraph" w:customStyle="1" w:styleId="Textodocorpo20">
    <w:name w:val="Texto do corpo (2)"/>
    <w:basedOn w:val="Normal"/>
    <w:link w:val="Textodocorpo2"/>
    <w:rsid w:val="00C868A2"/>
    <w:pPr>
      <w:widowControl w:val="0"/>
      <w:shd w:val="clear" w:color="auto" w:fill="FFFFFF"/>
      <w:spacing w:after="300" w:line="418" w:lineRule="exact"/>
      <w:ind w:firstLine="0"/>
      <w:jc w:val="center"/>
    </w:pPr>
    <w:rPr>
      <w:rFonts w:ascii="Palatino Linotype" w:eastAsia="Palatino Linotype" w:hAnsi="Palatino Linotype"/>
      <w:sz w:val="20"/>
      <w:szCs w:val="20"/>
      <w:lang w:val="x-none" w:eastAsia="x-none"/>
    </w:rPr>
  </w:style>
  <w:style w:type="character" w:customStyle="1" w:styleId="Textodocorpo285ptItlico">
    <w:name w:val="Texto do corpo (2) + 8;5 pt;Itálico"/>
    <w:rsid w:val="00C868A2"/>
    <w:rPr>
      <w:rFonts w:ascii="Palatino Linotype" w:eastAsia="Palatino Linotype" w:hAnsi="Palatino Linotype" w:cs="Palatino Linotype"/>
      <w:b w:val="0"/>
      <w:bCs w:val="0"/>
      <w:i/>
      <w:iCs/>
      <w:smallCaps w:val="0"/>
      <w:strike w:val="0"/>
      <w:color w:val="000000"/>
      <w:spacing w:val="0"/>
      <w:w w:val="100"/>
      <w:position w:val="0"/>
      <w:sz w:val="17"/>
      <w:szCs w:val="17"/>
      <w:u w:val="none"/>
      <w:shd w:val="clear" w:color="auto" w:fill="FFFFFF"/>
      <w:lang w:val="pt-BR" w:eastAsia="pt-BR" w:bidi="pt-BR"/>
    </w:rPr>
  </w:style>
  <w:style w:type="character" w:styleId="Refdecomentrio">
    <w:name w:val="annotation reference"/>
    <w:uiPriority w:val="99"/>
    <w:semiHidden/>
    <w:unhideWhenUsed/>
    <w:rsid w:val="002C22EE"/>
    <w:rPr>
      <w:sz w:val="16"/>
      <w:szCs w:val="16"/>
    </w:rPr>
  </w:style>
  <w:style w:type="paragraph" w:styleId="Textodecomentrio">
    <w:name w:val="annotation text"/>
    <w:basedOn w:val="Normal"/>
    <w:link w:val="TextodecomentrioChar"/>
    <w:uiPriority w:val="99"/>
    <w:semiHidden/>
    <w:unhideWhenUsed/>
    <w:rsid w:val="002C22EE"/>
    <w:rPr>
      <w:sz w:val="20"/>
      <w:szCs w:val="20"/>
      <w:lang w:val="x-none"/>
    </w:rPr>
  </w:style>
  <w:style w:type="character" w:customStyle="1" w:styleId="TextodecomentrioChar">
    <w:name w:val="Texto de comentário Char"/>
    <w:link w:val="Textodecomentrio"/>
    <w:uiPriority w:val="99"/>
    <w:semiHidden/>
    <w:rsid w:val="002C22EE"/>
    <w:rPr>
      <w:rFonts w:ascii="Times New Roman" w:hAnsi="Times New Roman"/>
      <w:lang w:eastAsia="en-US"/>
    </w:rPr>
  </w:style>
  <w:style w:type="paragraph" w:styleId="Assuntodocomentrio">
    <w:name w:val="annotation subject"/>
    <w:basedOn w:val="Textodecomentrio"/>
    <w:next w:val="Textodecomentrio"/>
    <w:link w:val="AssuntodocomentrioChar"/>
    <w:uiPriority w:val="99"/>
    <w:semiHidden/>
    <w:unhideWhenUsed/>
    <w:rsid w:val="002C22EE"/>
    <w:rPr>
      <w:b/>
      <w:bCs/>
    </w:rPr>
  </w:style>
  <w:style w:type="character" w:customStyle="1" w:styleId="AssuntodocomentrioChar">
    <w:name w:val="Assunto do comentário Char"/>
    <w:link w:val="Assuntodocomentrio"/>
    <w:uiPriority w:val="99"/>
    <w:semiHidden/>
    <w:rsid w:val="002C22EE"/>
    <w:rPr>
      <w:rFonts w:ascii="Times New Roman" w:hAnsi="Times New Roman"/>
      <w:b/>
      <w:bCs/>
      <w:lang w:eastAsia="en-US"/>
    </w:rPr>
  </w:style>
  <w:style w:type="paragraph" w:styleId="Textodebalo">
    <w:name w:val="Balloon Text"/>
    <w:basedOn w:val="Normal"/>
    <w:link w:val="TextodebaloChar"/>
    <w:uiPriority w:val="99"/>
    <w:semiHidden/>
    <w:unhideWhenUsed/>
    <w:rsid w:val="002C22EE"/>
    <w:rPr>
      <w:rFonts w:ascii="Segoe UI" w:hAnsi="Segoe UI"/>
      <w:sz w:val="18"/>
      <w:szCs w:val="18"/>
      <w:lang w:val="x-none"/>
    </w:rPr>
  </w:style>
  <w:style w:type="character" w:customStyle="1" w:styleId="TextodebaloChar">
    <w:name w:val="Texto de balão Char"/>
    <w:link w:val="Textodebalo"/>
    <w:uiPriority w:val="99"/>
    <w:semiHidden/>
    <w:rsid w:val="002C22EE"/>
    <w:rPr>
      <w:rFonts w:ascii="Segoe UI" w:hAnsi="Segoe UI" w:cs="Segoe UI"/>
      <w:sz w:val="18"/>
      <w:szCs w:val="18"/>
      <w:lang w:eastAsia="en-US"/>
    </w:rPr>
  </w:style>
  <w:style w:type="paragraph" w:styleId="Cabealho">
    <w:name w:val="header"/>
    <w:basedOn w:val="Normal"/>
    <w:link w:val="CabealhoChar"/>
    <w:uiPriority w:val="99"/>
    <w:unhideWhenUsed/>
    <w:rsid w:val="00F567FB"/>
    <w:pPr>
      <w:tabs>
        <w:tab w:val="center" w:pos="4252"/>
        <w:tab w:val="right" w:pos="8504"/>
      </w:tabs>
    </w:pPr>
  </w:style>
  <w:style w:type="character" w:customStyle="1" w:styleId="CabealhoChar">
    <w:name w:val="Cabeçalho Char"/>
    <w:basedOn w:val="Fontepargpadro"/>
    <w:link w:val="Cabealho"/>
    <w:uiPriority w:val="99"/>
    <w:rsid w:val="00F567FB"/>
    <w:rPr>
      <w:rFonts w:ascii="Times New Roman" w:hAnsi="Times New Roman"/>
      <w:sz w:val="24"/>
      <w:szCs w:val="22"/>
      <w:lang w:eastAsia="en-US"/>
    </w:rPr>
  </w:style>
  <w:style w:type="paragraph" w:styleId="Rodap">
    <w:name w:val="footer"/>
    <w:basedOn w:val="Normal"/>
    <w:link w:val="RodapChar"/>
    <w:uiPriority w:val="99"/>
    <w:unhideWhenUsed/>
    <w:rsid w:val="00F567FB"/>
    <w:pPr>
      <w:tabs>
        <w:tab w:val="center" w:pos="4252"/>
        <w:tab w:val="right" w:pos="8504"/>
      </w:tabs>
    </w:pPr>
  </w:style>
  <w:style w:type="character" w:customStyle="1" w:styleId="RodapChar">
    <w:name w:val="Rodapé Char"/>
    <w:basedOn w:val="Fontepargpadro"/>
    <w:link w:val="Rodap"/>
    <w:uiPriority w:val="99"/>
    <w:rsid w:val="00F567FB"/>
    <w:rPr>
      <w:rFonts w:ascii="Times New Roman" w:hAnsi="Times New Roman"/>
      <w:sz w:val="24"/>
      <w:szCs w:val="22"/>
      <w:lang w:eastAsia="en-US"/>
    </w:rPr>
  </w:style>
  <w:style w:type="character" w:customStyle="1" w:styleId="apple-converted-space">
    <w:name w:val="apple-converted-space"/>
    <w:basedOn w:val="Fontepargpadro"/>
    <w:rsid w:val="000A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6252">
      <w:bodyDiv w:val="1"/>
      <w:marLeft w:val="0"/>
      <w:marRight w:val="0"/>
      <w:marTop w:val="0"/>
      <w:marBottom w:val="0"/>
      <w:divBdr>
        <w:top w:val="none" w:sz="0" w:space="0" w:color="auto"/>
        <w:left w:val="none" w:sz="0" w:space="0" w:color="auto"/>
        <w:bottom w:val="none" w:sz="0" w:space="0" w:color="auto"/>
        <w:right w:val="none" w:sz="0" w:space="0" w:color="auto"/>
      </w:divBdr>
    </w:div>
    <w:div w:id="318190121">
      <w:bodyDiv w:val="1"/>
      <w:marLeft w:val="0"/>
      <w:marRight w:val="0"/>
      <w:marTop w:val="0"/>
      <w:marBottom w:val="0"/>
      <w:divBdr>
        <w:top w:val="none" w:sz="0" w:space="0" w:color="auto"/>
        <w:left w:val="none" w:sz="0" w:space="0" w:color="auto"/>
        <w:bottom w:val="none" w:sz="0" w:space="0" w:color="auto"/>
        <w:right w:val="none" w:sz="0" w:space="0" w:color="auto"/>
      </w:divBdr>
    </w:div>
    <w:div w:id="620310424">
      <w:bodyDiv w:val="1"/>
      <w:marLeft w:val="0"/>
      <w:marRight w:val="0"/>
      <w:marTop w:val="0"/>
      <w:marBottom w:val="0"/>
      <w:divBdr>
        <w:top w:val="none" w:sz="0" w:space="0" w:color="auto"/>
        <w:left w:val="none" w:sz="0" w:space="0" w:color="auto"/>
        <w:bottom w:val="none" w:sz="0" w:space="0" w:color="auto"/>
        <w:right w:val="none" w:sz="0" w:space="0" w:color="auto"/>
      </w:divBdr>
    </w:div>
    <w:div w:id="1396971744">
      <w:bodyDiv w:val="1"/>
      <w:marLeft w:val="0"/>
      <w:marRight w:val="0"/>
      <w:marTop w:val="0"/>
      <w:marBottom w:val="0"/>
      <w:divBdr>
        <w:top w:val="none" w:sz="0" w:space="0" w:color="auto"/>
        <w:left w:val="none" w:sz="0" w:space="0" w:color="auto"/>
        <w:bottom w:val="none" w:sz="0" w:space="0" w:color="auto"/>
        <w:right w:val="none" w:sz="0" w:space="0" w:color="auto"/>
      </w:divBdr>
    </w:div>
    <w:div w:id="1675691690">
      <w:bodyDiv w:val="1"/>
      <w:marLeft w:val="0"/>
      <w:marRight w:val="0"/>
      <w:marTop w:val="0"/>
      <w:marBottom w:val="0"/>
      <w:divBdr>
        <w:top w:val="none" w:sz="0" w:space="0" w:color="auto"/>
        <w:left w:val="none" w:sz="0" w:space="0" w:color="auto"/>
        <w:bottom w:val="none" w:sz="0" w:space="0" w:color="auto"/>
        <w:right w:val="none" w:sz="0" w:space="0" w:color="auto"/>
      </w:divBdr>
    </w:div>
    <w:div w:id="1695617399">
      <w:bodyDiv w:val="1"/>
      <w:marLeft w:val="0"/>
      <w:marRight w:val="0"/>
      <w:marTop w:val="0"/>
      <w:marBottom w:val="0"/>
      <w:divBdr>
        <w:top w:val="none" w:sz="0" w:space="0" w:color="auto"/>
        <w:left w:val="none" w:sz="0" w:space="0" w:color="auto"/>
        <w:bottom w:val="none" w:sz="0" w:space="0" w:color="auto"/>
        <w:right w:val="none" w:sz="0" w:space="0" w:color="auto"/>
      </w:divBdr>
    </w:div>
    <w:div w:id="1923946264">
      <w:bodyDiv w:val="1"/>
      <w:marLeft w:val="0"/>
      <w:marRight w:val="0"/>
      <w:marTop w:val="0"/>
      <w:marBottom w:val="0"/>
      <w:divBdr>
        <w:top w:val="none" w:sz="0" w:space="0" w:color="auto"/>
        <w:left w:val="none" w:sz="0" w:space="0" w:color="auto"/>
        <w:bottom w:val="none" w:sz="0" w:space="0" w:color="auto"/>
        <w:right w:val="none" w:sz="0" w:space="0" w:color="auto"/>
      </w:divBdr>
    </w:div>
    <w:div w:id="1938363482">
      <w:bodyDiv w:val="1"/>
      <w:marLeft w:val="0"/>
      <w:marRight w:val="0"/>
      <w:marTop w:val="0"/>
      <w:marBottom w:val="0"/>
      <w:divBdr>
        <w:top w:val="none" w:sz="0" w:space="0" w:color="auto"/>
        <w:left w:val="none" w:sz="0" w:space="0" w:color="auto"/>
        <w:bottom w:val="none" w:sz="0" w:space="0" w:color="auto"/>
        <w:right w:val="none" w:sz="0" w:space="0" w:color="auto"/>
      </w:divBdr>
    </w:div>
    <w:div w:id="20221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3F9D096-180F-488E-81BB-A4C5ACF2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6771</Words>
  <Characters>36567</Characters>
  <DocSecurity>0</DocSecurity>
  <Lines>304</Lines>
  <Paragraphs>86</Paragraphs>
  <ScaleCrop>false</ScaleCrop>
  <Company/>
  <LinksUpToDate>false</LinksUpToDate>
  <CharactersWithSpaces>43252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2016-07-22T01:52:00Z</dcterms:created>
  <dcterms:modified xsi:type="dcterms:W3CDTF">2016-07-22T01:53:00Z</dcterms:modified>
</cp:coreProperties>
</file>