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4A18F" w14:textId="005FD641" w:rsidR="00005715" w:rsidRDefault="00E4187D" w:rsidP="00503154">
      <w:pPr>
        <w:pStyle w:val="SemEspaamento"/>
        <w:ind w:firstLine="0"/>
        <w:jc w:val="center"/>
        <w:rPr>
          <w:rFonts w:ascii="Palatino Linotype" w:hAnsi="Palatino Linotype"/>
          <w:b/>
          <w:i/>
        </w:rPr>
      </w:pPr>
      <w:r w:rsidRPr="00E4187D">
        <w:rPr>
          <w:rFonts w:ascii="Palatino Linotype" w:hAnsi="Palatino Linotype"/>
          <w:b/>
        </w:rPr>
        <w:t xml:space="preserve">A FORMA DE FINANCIAMENTO DAS COMPANHIAS </w:t>
      </w:r>
      <w:r w:rsidR="006463E6" w:rsidRPr="009314E3">
        <w:rPr>
          <w:rFonts w:ascii="Palatino Linotype" w:hAnsi="Palatino Linotype"/>
          <w:b/>
        </w:rPr>
        <w:t>ABERTAS</w:t>
      </w:r>
      <w:r w:rsidR="006463E6">
        <w:rPr>
          <w:rFonts w:ascii="Palatino Linotype" w:hAnsi="Palatino Linotype"/>
          <w:b/>
        </w:rPr>
        <w:t xml:space="preserve"> </w:t>
      </w:r>
      <w:r w:rsidRPr="00E4187D">
        <w:rPr>
          <w:rFonts w:ascii="Palatino Linotype" w:hAnsi="Palatino Linotype"/>
          <w:b/>
        </w:rPr>
        <w:t xml:space="preserve">SOB OS PRESSUPOSTOS DA </w:t>
      </w:r>
      <w:r w:rsidRPr="00E4187D">
        <w:rPr>
          <w:rFonts w:ascii="Palatino Linotype" w:hAnsi="Palatino Linotype"/>
          <w:b/>
          <w:i/>
        </w:rPr>
        <w:t>PECKING ORDER THEORY</w:t>
      </w:r>
      <w:r w:rsidRPr="00E4187D">
        <w:rPr>
          <w:rFonts w:ascii="Palatino Linotype" w:hAnsi="Palatino Linotype"/>
          <w:b/>
        </w:rPr>
        <w:t xml:space="preserve"> E </w:t>
      </w:r>
      <w:r w:rsidRPr="00E4187D">
        <w:rPr>
          <w:rFonts w:ascii="Palatino Linotype" w:hAnsi="Palatino Linotype"/>
          <w:b/>
          <w:i/>
        </w:rPr>
        <w:t>TRADE OFF THEORY</w:t>
      </w:r>
    </w:p>
    <w:p w14:paraId="203F7DA9" w14:textId="77777777" w:rsidR="002A51B1" w:rsidRDefault="002A51B1" w:rsidP="00E4187D">
      <w:pPr>
        <w:pStyle w:val="SemEspaamento"/>
        <w:ind w:firstLine="709"/>
        <w:jc w:val="center"/>
        <w:rPr>
          <w:rFonts w:ascii="Palatino Linotype" w:hAnsi="Palatino Linotype"/>
          <w:b/>
          <w:i/>
        </w:rPr>
      </w:pPr>
    </w:p>
    <w:p w14:paraId="140CACC5" w14:textId="77777777" w:rsidR="002A51B1" w:rsidRPr="0004367F" w:rsidRDefault="002A51B1" w:rsidP="002A51B1">
      <w:pPr>
        <w:pStyle w:val="SemEspaamento"/>
        <w:ind w:firstLine="709"/>
        <w:jc w:val="center"/>
        <w:rPr>
          <w:rFonts w:ascii="Palatino Linotype" w:hAnsi="Palatino Linotype"/>
          <w:lang w:val="en-US"/>
        </w:rPr>
      </w:pPr>
      <w:r w:rsidRPr="0004367F">
        <w:rPr>
          <w:rFonts w:ascii="Palatino Linotype" w:hAnsi="Palatino Linotype"/>
          <w:lang w:val="en-US"/>
        </w:rPr>
        <w:t>THE FORM OF FINANCING OF LISTED COMPANIES UNDER THE ASSUMPTIONS OF THE </w:t>
      </w:r>
      <w:r w:rsidRPr="0004367F">
        <w:rPr>
          <w:rFonts w:ascii="Palatino Linotype" w:hAnsi="Palatino Linotype"/>
          <w:i/>
          <w:lang w:val="en-US"/>
        </w:rPr>
        <w:t>PECKING ORDER THEORY</w:t>
      </w:r>
      <w:r w:rsidRPr="0004367F">
        <w:rPr>
          <w:rFonts w:ascii="Palatino Linotype" w:hAnsi="Palatino Linotype"/>
          <w:lang w:val="en-US"/>
        </w:rPr>
        <w:t> AND </w:t>
      </w:r>
      <w:r w:rsidRPr="0004367F">
        <w:rPr>
          <w:rFonts w:ascii="Palatino Linotype" w:hAnsi="Palatino Linotype"/>
          <w:i/>
          <w:lang w:val="en-US"/>
        </w:rPr>
        <w:t>TRADE OFF THEORY</w:t>
      </w:r>
    </w:p>
    <w:p w14:paraId="3424A1A0" w14:textId="77777777" w:rsidR="00005715" w:rsidRDefault="00005715" w:rsidP="00E4187D">
      <w:pPr>
        <w:jc w:val="right"/>
        <w:rPr>
          <w:rFonts w:ascii="Palatino Linotype" w:hAnsi="Palatino Linotype"/>
          <w:b/>
          <w:i/>
          <w:color w:val="808080"/>
          <w:sz w:val="22"/>
        </w:rPr>
      </w:pPr>
    </w:p>
    <w:p w14:paraId="48195266" w14:textId="77777777" w:rsidR="00035E2C" w:rsidRDefault="00035E2C" w:rsidP="00E4187D">
      <w:pPr>
        <w:jc w:val="right"/>
        <w:rPr>
          <w:rFonts w:ascii="Palatino Linotype" w:hAnsi="Palatino Linotype"/>
          <w:b/>
          <w:i/>
          <w:color w:val="808080"/>
          <w:sz w:val="22"/>
        </w:rPr>
      </w:pPr>
    </w:p>
    <w:p w14:paraId="0E7AF357" w14:textId="77777777" w:rsidR="00035E2C" w:rsidRDefault="00035E2C" w:rsidP="00E4187D">
      <w:pPr>
        <w:jc w:val="right"/>
        <w:rPr>
          <w:rFonts w:ascii="Palatino Linotype" w:hAnsi="Palatino Linotype"/>
          <w:b/>
          <w:i/>
          <w:color w:val="808080"/>
          <w:sz w:val="22"/>
        </w:rPr>
      </w:pPr>
    </w:p>
    <w:p w14:paraId="1DD613BE" w14:textId="77777777" w:rsidR="00035E2C" w:rsidRDefault="00035E2C" w:rsidP="00E4187D">
      <w:pPr>
        <w:jc w:val="right"/>
        <w:rPr>
          <w:rFonts w:ascii="Palatino Linotype" w:hAnsi="Palatino Linotype"/>
          <w:b/>
          <w:i/>
          <w:color w:val="808080"/>
          <w:sz w:val="22"/>
        </w:rPr>
      </w:pPr>
    </w:p>
    <w:p w14:paraId="38C03046" w14:textId="77777777" w:rsidR="00035E2C" w:rsidRDefault="00035E2C" w:rsidP="00E4187D">
      <w:pPr>
        <w:jc w:val="right"/>
        <w:rPr>
          <w:rFonts w:ascii="Palatino Linotype" w:hAnsi="Palatino Linotype"/>
          <w:b/>
          <w:i/>
          <w:color w:val="808080"/>
          <w:sz w:val="22"/>
        </w:rPr>
      </w:pPr>
    </w:p>
    <w:p w14:paraId="4008B583" w14:textId="77777777" w:rsidR="00035E2C" w:rsidRDefault="00035E2C" w:rsidP="00E4187D">
      <w:pPr>
        <w:jc w:val="right"/>
        <w:rPr>
          <w:rFonts w:ascii="Palatino Linotype" w:hAnsi="Palatino Linotype"/>
          <w:b/>
          <w:i/>
          <w:color w:val="808080"/>
          <w:sz w:val="22"/>
        </w:rPr>
      </w:pPr>
    </w:p>
    <w:p w14:paraId="29283264" w14:textId="77777777" w:rsidR="00035E2C" w:rsidRDefault="00035E2C" w:rsidP="00E4187D">
      <w:pPr>
        <w:jc w:val="right"/>
        <w:rPr>
          <w:rFonts w:ascii="Palatino Linotype" w:hAnsi="Palatino Linotype"/>
          <w:b/>
          <w:i/>
          <w:color w:val="808080"/>
          <w:sz w:val="22"/>
        </w:rPr>
      </w:pPr>
    </w:p>
    <w:p w14:paraId="0621EAF7" w14:textId="77777777" w:rsidR="00035E2C" w:rsidRDefault="00035E2C" w:rsidP="00E4187D">
      <w:pPr>
        <w:jc w:val="right"/>
        <w:rPr>
          <w:rFonts w:ascii="Palatino Linotype" w:hAnsi="Palatino Linotype"/>
          <w:b/>
          <w:i/>
          <w:color w:val="808080"/>
          <w:sz w:val="22"/>
        </w:rPr>
      </w:pPr>
    </w:p>
    <w:p w14:paraId="5E3FC7E4" w14:textId="77777777" w:rsidR="00035E2C" w:rsidRDefault="00035E2C" w:rsidP="00E4187D">
      <w:pPr>
        <w:jc w:val="right"/>
        <w:rPr>
          <w:rFonts w:ascii="Palatino Linotype" w:hAnsi="Palatino Linotype"/>
          <w:b/>
          <w:i/>
          <w:color w:val="808080"/>
          <w:sz w:val="22"/>
        </w:rPr>
      </w:pPr>
    </w:p>
    <w:p w14:paraId="4FE45E94" w14:textId="77777777" w:rsidR="00035E2C" w:rsidRDefault="00035E2C" w:rsidP="00E4187D">
      <w:pPr>
        <w:jc w:val="right"/>
        <w:rPr>
          <w:rFonts w:ascii="Palatino Linotype" w:hAnsi="Palatino Linotype"/>
          <w:b/>
          <w:i/>
          <w:color w:val="808080"/>
          <w:sz w:val="22"/>
        </w:rPr>
      </w:pPr>
    </w:p>
    <w:p w14:paraId="070D2B10" w14:textId="77777777" w:rsidR="00035E2C" w:rsidRDefault="00035E2C" w:rsidP="00E4187D">
      <w:pPr>
        <w:jc w:val="right"/>
        <w:rPr>
          <w:rFonts w:ascii="Palatino Linotype" w:hAnsi="Palatino Linotype"/>
          <w:b/>
          <w:i/>
          <w:color w:val="808080"/>
          <w:sz w:val="22"/>
        </w:rPr>
      </w:pPr>
    </w:p>
    <w:p w14:paraId="1F39A961" w14:textId="77777777" w:rsidR="00035E2C" w:rsidRDefault="00035E2C" w:rsidP="00E4187D">
      <w:pPr>
        <w:jc w:val="right"/>
        <w:rPr>
          <w:rFonts w:ascii="Palatino Linotype" w:hAnsi="Palatino Linotype"/>
          <w:b/>
          <w:i/>
          <w:color w:val="808080"/>
          <w:sz w:val="22"/>
        </w:rPr>
      </w:pPr>
    </w:p>
    <w:p w14:paraId="0223BA4B" w14:textId="77777777" w:rsidR="00035E2C" w:rsidRDefault="00035E2C" w:rsidP="00E4187D">
      <w:pPr>
        <w:jc w:val="right"/>
        <w:rPr>
          <w:rFonts w:ascii="Palatino Linotype" w:hAnsi="Palatino Linotype"/>
          <w:b/>
          <w:i/>
          <w:color w:val="808080"/>
          <w:sz w:val="22"/>
        </w:rPr>
      </w:pPr>
    </w:p>
    <w:p w14:paraId="56F34CB2" w14:textId="77777777" w:rsidR="00035E2C" w:rsidRDefault="00035E2C" w:rsidP="00E4187D">
      <w:pPr>
        <w:jc w:val="right"/>
        <w:rPr>
          <w:rFonts w:ascii="Palatino Linotype" w:hAnsi="Palatino Linotype"/>
          <w:b/>
          <w:i/>
          <w:color w:val="808080"/>
          <w:sz w:val="22"/>
        </w:rPr>
      </w:pPr>
    </w:p>
    <w:p w14:paraId="4ED235AF" w14:textId="77777777" w:rsidR="00035E2C" w:rsidRDefault="00035E2C" w:rsidP="00E4187D">
      <w:pPr>
        <w:jc w:val="right"/>
        <w:rPr>
          <w:rFonts w:ascii="Palatino Linotype" w:hAnsi="Palatino Linotype"/>
          <w:b/>
          <w:i/>
          <w:color w:val="808080"/>
          <w:sz w:val="22"/>
        </w:rPr>
      </w:pPr>
    </w:p>
    <w:p w14:paraId="71625F6D" w14:textId="77777777" w:rsidR="00035E2C" w:rsidRDefault="00035E2C" w:rsidP="00E4187D">
      <w:pPr>
        <w:jc w:val="right"/>
        <w:rPr>
          <w:rFonts w:ascii="Palatino Linotype" w:hAnsi="Palatino Linotype"/>
          <w:b/>
          <w:i/>
          <w:color w:val="808080"/>
          <w:sz w:val="22"/>
        </w:rPr>
      </w:pPr>
    </w:p>
    <w:p w14:paraId="53DFE41A" w14:textId="77777777" w:rsidR="00035E2C" w:rsidRDefault="00035E2C" w:rsidP="001F6DCC">
      <w:pPr>
        <w:spacing w:line="360" w:lineRule="auto"/>
        <w:ind w:firstLine="0"/>
        <w:rPr>
          <w:rFonts w:ascii="Palatino Linotype" w:hAnsi="Palatino Linotype"/>
          <w:b/>
          <w:sz w:val="22"/>
        </w:rPr>
      </w:pPr>
    </w:p>
    <w:p w14:paraId="3424A1A1" w14:textId="77777777" w:rsidR="00005715" w:rsidRPr="00E4187D" w:rsidRDefault="001F6DCC" w:rsidP="001F6DCC">
      <w:pPr>
        <w:spacing w:line="360" w:lineRule="auto"/>
        <w:ind w:firstLine="0"/>
        <w:rPr>
          <w:rFonts w:ascii="Palatino Linotype" w:hAnsi="Palatino Linotype"/>
          <w:b/>
          <w:sz w:val="22"/>
        </w:rPr>
      </w:pPr>
      <w:bookmarkStart w:id="0" w:name="_GoBack"/>
      <w:bookmarkEnd w:id="0"/>
      <w:r w:rsidRPr="00E4187D">
        <w:rPr>
          <w:rFonts w:ascii="Palatino Linotype" w:hAnsi="Palatino Linotype"/>
          <w:b/>
          <w:sz w:val="22"/>
        </w:rPr>
        <w:t>RESUMO</w:t>
      </w:r>
    </w:p>
    <w:p w14:paraId="3424A1A2" w14:textId="454CEE0F" w:rsidR="001F6DCC" w:rsidRPr="001F6DC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Objetivo</w:t>
      </w:r>
      <w:r>
        <w:rPr>
          <w:rFonts w:ascii="Palatino Linotype" w:hAnsi="Palatino Linotype"/>
          <w:sz w:val="22"/>
          <w:szCs w:val="22"/>
        </w:rPr>
        <w:t xml:space="preserve">: </w:t>
      </w:r>
      <w:r w:rsidR="009D124C">
        <w:rPr>
          <w:rFonts w:ascii="Palatino Linotype" w:hAnsi="Palatino Linotype"/>
          <w:sz w:val="22"/>
          <w:szCs w:val="22"/>
        </w:rPr>
        <w:t>I</w:t>
      </w:r>
      <w:r w:rsidR="002B1D3F">
        <w:rPr>
          <w:rFonts w:ascii="Palatino Linotype" w:hAnsi="Palatino Linotype"/>
          <w:sz w:val="22"/>
          <w:szCs w:val="22"/>
        </w:rPr>
        <w:t>nvestigar</w:t>
      </w:r>
      <w:r w:rsidR="00005715" w:rsidRPr="00E4187D">
        <w:rPr>
          <w:rFonts w:ascii="Palatino Linotype" w:hAnsi="Palatino Linotype"/>
          <w:sz w:val="22"/>
          <w:szCs w:val="22"/>
        </w:rPr>
        <w:t xml:space="preserve"> o perfil de financiamento </w:t>
      </w:r>
      <w:r w:rsidR="00D93A72" w:rsidRPr="00E4187D">
        <w:rPr>
          <w:rFonts w:ascii="Palatino Linotype" w:hAnsi="Palatino Linotype"/>
          <w:sz w:val="22"/>
          <w:szCs w:val="22"/>
        </w:rPr>
        <w:t>d</w:t>
      </w:r>
      <w:r w:rsidR="00005715" w:rsidRPr="00E4187D">
        <w:rPr>
          <w:rFonts w:ascii="Palatino Linotype" w:hAnsi="Palatino Linotype"/>
          <w:sz w:val="22"/>
          <w:szCs w:val="22"/>
        </w:rPr>
        <w:t>as companhias de capit</w:t>
      </w:r>
      <w:r>
        <w:rPr>
          <w:rFonts w:ascii="Palatino Linotype" w:hAnsi="Palatino Linotype"/>
          <w:sz w:val="22"/>
          <w:szCs w:val="22"/>
        </w:rPr>
        <w:t xml:space="preserve">al aberto no Brasil listadas na </w:t>
      </w:r>
      <w:r w:rsidR="00005715" w:rsidRPr="00E4187D">
        <w:rPr>
          <w:rFonts w:ascii="Palatino Linotype" w:hAnsi="Palatino Linotype"/>
          <w:sz w:val="22"/>
          <w:szCs w:val="22"/>
        </w:rPr>
        <w:t>BM&amp;FBovespa</w:t>
      </w:r>
      <w:r w:rsidR="00F66EED">
        <w:rPr>
          <w:rFonts w:ascii="Palatino Linotype" w:hAnsi="Palatino Linotype"/>
          <w:sz w:val="22"/>
          <w:szCs w:val="22"/>
        </w:rPr>
        <w:t>,</w:t>
      </w:r>
      <w:r w:rsidR="00005715" w:rsidRPr="00E4187D">
        <w:rPr>
          <w:rFonts w:ascii="Palatino Linotype" w:hAnsi="Palatino Linotype"/>
          <w:sz w:val="22"/>
          <w:szCs w:val="22"/>
        </w:rPr>
        <w:t xml:space="preserve"> </w:t>
      </w:r>
      <w:r w:rsidR="00157509">
        <w:rPr>
          <w:rFonts w:ascii="Palatino Linotype" w:hAnsi="Palatino Linotype"/>
          <w:sz w:val="22"/>
          <w:szCs w:val="22"/>
        </w:rPr>
        <w:t xml:space="preserve">compreendendo o </w:t>
      </w:r>
      <w:r>
        <w:rPr>
          <w:rFonts w:ascii="Palatino Linotype" w:hAnsi="Palatino Linotype"/>
          <w:sz w:val="22"/>
          <w:szCs w:val="22"/>
        </w:rPr>
        <w:t xml:space="preserve">período de 2005 </w:t>
      </w:r>
      <w:r w:rsidR="00503154">
        <w:rPr>
          <w:rFonts w:ascii="Palatino Linotype" w:hAnsi="Palatino Linotype"/>
          <w:sz w:val="22"/>
          <w:szCs w:val="22"/>
        </w:rPr>
        <w:t>a</w:t>
      </w:r>
      <w:r w:rsidR="00005715" w:rsidRPr="00E4187D">
        <w:rPr>
          <w:rFonts w:ascii="Palatino Linotype" w:hAnsi="Palatino Linotype"/>
          <w:sz w:val="22"/>
          <w:szCs w:val="22"/>
        </w:rPr>
        <w:t xml:space="preserve"> 2015. </w:t>
      </w:r>
    </w:p>
    <w:p w14:paraId="3424A1A3" w14:textId="4FBE1677" w:rsidR="001F6DCC" w:rsidRPr="001F6DC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 xml:space="preserve">Fundamento: </w:t>
      </w:r>
      <w:r w:rsidR="009D124C">
        <w:rPr>
          <w:rFonts w:ascii="Palatino Linotype" w:hAnsi="Palatino Linotype"/>
          <w:sz w:val="22"/>
        </w:rPr>
        <w:t>T</w:t>
      </w:r>
      <w:r w:rsidR="00E60050" w:rsidRPr="00E4187D">
        <w:rPr>
          <w:rFonts w:ascii="Palatino Linotype" w:hAnsi="Palatino Linotype"/>
          <w:sz w:val="22"/>
        </w:rPr>
        <w:t xml:space="preserve">eorias de finanças </w:t>
      </w:r>
      <w:r w:rsidR="00157509">
        <w:rPr>
          <w:rFonts w:ascii="Palatino Linotype" w:hAnsi="Palatino Linotype"/>
          <w:sz w:val="22"/>
        </w:rPr>
        <w:t>(</w:t>
      </w:r>
      <w:r w:rsidR="00157509" w:rsidRPr="00E4187D">
        <w:rPr>
          <w:rFonts w:ascii="Palatino Linotype" w:hAnsi="Palatino Linotype"/>
          <w:i/>
          <w:sz w:val="22"/>
          <w:szCs w:val="22"/>
        </w:rPr>
        <w:t>Pecking Order Theory</w:t>
      </w:r>
      <w:r w:rsidR="00157509" w:rsidRPr="00E4187D">
        <w:rPr>
          <w:rFonts w:ascii="Palatino Linotype" w:hAnsi="Palatino Linotype"/>
          <w:sz w:val="22"/>
        </w:rPr>
        <w:t xml:space="preserve"> </w:t>
      </w:r>
      <w:r w:rsidR="00157509">
        <w:rPr>
          <w:rFonts w:ascii="Palatino Linotype" w:hAnsi="Palatino Linotype"/>
          <w:sz w:val="22"/>
        </w:rPr>
        <w:t xml:space="preserve">e </w:t>
      </w:r>
      <w:r w:rsidR="00157509" w:rsidRPr="00E4187D">
        <w:rPr>
          <w:rFonts w:ascii="Palatino Linotype" w:hAnsi="Palatino Linotype"/>
          <w:i/>
          <w:sz w:val="22"/>
          <w:szCs w:val="22"/>
        </w:rPr>
        <w:t xml:space="preserve">Trade Off </w:t>
      </w:r>
      <w:r w:rsidR="00503154" w:rsidRPr="00E4187D">
        <w:rPr>
          <w:rFonts w:ascii="Palatino Linotype" w:hAnsi="Palatino Linotype"/>
          <w:i/>
          <w:sz w:val="22"/>
          <w:szCs w:val="22"/>
        </w:rPr>
        <w:t>Theory</w:t>
      </w:r>
      <w:r w:rsidR="00503154" w:rsidRPr="00E4187D">
        <w:rPr>
          <w:rFonts w:ascii="Palatino Linotype" w:hAnsi="Palatino Linotype"/>
          <w:sz w:val="22"/>
        </w:rPr>
        <w:t>)</w:t>
      </w:r>
      <w:r w:rsidR="00157509">
        <w:rPr>
          <w:rFonts w:ascii="Palatino Linotype" w:hAnsi="Palatino Linotype"/>
          <w:sz w:val="22"/>
        </w:rPr>
        <w:t xml:space="preserve"> </w:t>
      </w:r>
      <w:r w:rsidR="00E60050" w:rsidRPr="00E4187D">
        <w:rPr>
          <w:rFonts w:ascii="Palatino Linotype" w:hAnsi="Palatino Linotype"/>
          <w:sz w:val="22"/>
        </w:rPr>
        <w:t xml:space="preserve">tentam explicar a política de financiamento adotada pelas </w:t>
      </w:r>
      <w:r w:rsidR="009D124C">
        <w:rPr>
          <w:rFonts w:ascii="Palatino Linotype" w:hAnsi="Palatino Linotype"/>
          <w:sz w:val="22"/>
        </w:rPr>
        <w:t>companhias</w:t>
      </w:r>
      <w:r w:rsidR="00E60050" w:rsidRPr="00E4187D">
        <w:rPr>
          <w:rFonts w:ascii="Palatino Linotype" w:hAnsi="Palatino Linotype"/>
          <w:sz w:val="22"/>
        </w:rPr>
        <w:t xml:space="preserve">. Essas teorias sustentam a discussão referente à estrutura </w:t>
      </w:r>
      <w:r w:rsidR="00815ACE">
        <w:rPr>
          <w:rFonts w:ascii="Palatino Linotype" w:hAnsi="Palatino Linotype"/>
          <w:sz w:val="22"/>
        </w:rPr>
        <w:t>d</w:t>
      </w:r>
      <w:r w:rsidR="00E60050" w:rsidRPr="00E4187D">
        <w:rPr>
          <w:rFonts w:ascii="Palatino Linotype" w:hAnsi="Palatino Linotype"/>
          <w:sz w:val="22"/>
        </w:rPr>
        <w:t>e capital e a forma de financiamento das companhias.</w:t>
      </w:r>
    </w:p>
    <w:p w14:paraId="3424A1A4" w14:textId="77777777" w:rsidR="009D124C" w:rsidRDefault="001F6DCC" w:rsidP="00E4187D">
      <w:pPr>
        <w:pStyle w:val="PargrafodaLista"/>
        <w:ind w:left="0" w:firstLine="0"/>
        <w:rPr>
          <w:rFonts w:ascii="Palatino Linotype" w:hAnsi="Palatino Linotype"/>
          <w:sz w:val="22"/>
          <w:szCs w:val="22"/>
        </w:rPr>
      </w:pPr>
      <w:r w:rsidRPr="001F6DCC">
        <w:rPr>
          <w:rFonts w:ascii="Palatino Linotype" w:hAnsi="Palatino Linotype"/>
          <w:b/>
          <w:sz w:val="22"/>
          <w:szCs w:val="22"/>
        </w:rPr>
        <w:t>Método:</w:t>
      </w:r>
      <w:r>
        <w:rPr>
          <w:rFonts w:ascii="Palatino Linotype" w:hAnsi="Palatino Linotype"/>
          <w:sz w:val="22"/>
          <w:szCs w:val="22"/>
        </w:rPr>
        <w:t xml:space="preserve"> </w:t>
      </w:r>
      <w:r w:rsidR="00F51320">
        <w:rPr>
          <w:rFonts w:ascii="Palatino Linotype" w:hAnsi="Palatino Linotype"/>
          <w:sz w:val="22"/>
          <w:szCs w:val="22"/>
        </w:rPr>
        <w:t>F</w:t>
      </w:r>
      <w:r w:rsidR="00005715" w:rsidRPr="00E4187D">
        <w:rPr>
          <w:rFonts w:ascii="Palatino Linotype" w:hAnsi="Palatino Linotype"/>
          <w:sz w:val="22"/>
          <w:szCs w:val="22"/>
        </w:rPr>
        <w:t xml:space="preserve">oi utilizada a metodologia proposta por Singh e Hamid (1992), </w:t>
      </w:r>
      <w:r w:rsidR="009D124C">
        <w:rPr>
          <w:rFonts w:ascii="Palatino Linotype" w:hAnsi="Palatino Linotype"/>
          <w:sz w:val="22"/>
          <w:szCs w:val="22"/>
        </w:rPr>
        <w:t>que</w:t>
      </w:r>
      <w:r w:rsidR="00005715" w:rsidRPr="00E4187D">
        <w:rPr>
          <w:rFonts w:ascii="Palatino Linotype" w:hAnsi="Palatino Linotype"/>
          <w:sz w:val="22"/>
          <w:szCs w:val="22"/>
        </w:rPr>
        <w:t xml:space="preserve"> visa identificar </w:t>
      </w:r>
      <w:r>
        <w:rPr>
          <w:rFonts w:ascii="Palatino Linotype" w:hAnsi="Palatino Linotype"/>
          <w:sz w:val="22"/>
          <w:szCs w:val="22"/>
        </w:rPr>
        <w:t>como as companhias financiam seus investimentos</w:t>
      </w:r>
      <w:r w:rsidR="00E60050">
        <w:rPr>
          <w:rFonts w:ascii="Palatino Linotype" w:hAnsi="Palatino Linotype"/>
          <w:sz w:val="22"/>
          <w:szCs w:val="22"/>
        </w:rPr>
        <w:t xml:space="preserve">. </w:t>
      </w:r>
      <w:r w:rsidR="00812981">
        <w:rPr>
          <w:rFonts w:ascii="Palatino Linotype" w:hAnsi="Palatino Linotype"/>
          <w:sz w:val="22"/>
          <w:szCs w:val="22"/>
        </w:rPr>
        <w:t>Foram utilizados</w:t>
      </w:r>
      <w:r w:rsidR="00E60050">
        <w:rPr>
          <w:rFonts w:ascii="Palatino Linotype" w:hAnsi="Palatino Linotype"/>
          <w:sz w:val="22"/>
          <w:szCs w:val="22"/>
        </w:rPr>
        <w:t xml:space="preserve"> dados </w:t>
      </w:r>
      <w:r w:rsidR="00005715" w:rsidRPr="00E4187D">
        <w:rPr>
          <w:rFonts w:ascii="Palatino Linotype" w:hAnsi="Palatino Linotype"/>
          <w:sz w:val="22"/>
          <w:szCs w:val="22"/>
        </w:rPr>
        <w:t>do ativo total, passivo total, dividendos pagos e lucro líquido</w:t>
      </w:r>
      <w:r w:rsidR="00812981">
        <w:rPr>
          <w:rFonts w:ascii="Palatino Linotype" w:hAnsi="Palatino Linotype"/>
          <w:sz w:val="22"/>
          <w:szCs w:val="22"/>
        </w:rPr>
        <w:t>.</w:t>
      </w:r>
      <w:r w:rsidR="00005715" w:rsidRPr="00E4187D">
        <w:rPr>
          <w:rFonts w:ascii="Palatino Linotype" w:hAnsi="Palatino Linotype"/>
          <w:sz w:val="22"/>
          <w:szCs w:val="22"/>
        </w:rPr>
        <w:t xml:space="preserve"> </w:t>
      </w:r>
    </w:p>
    <w:p w14:paraId="3424A1A5" w14:textId="77777777" w:rsidR="005C73FB" w:rsidRPr="009D124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 xml:space="preserve">Resultados: </w:t>
      </w:r>
      <w:r w:rsidR="005C73FB" w:rsidRPr="009D124C">
        <w:rPr>
          <w:rFonts w:ascii="Palatino Linotype" w:hAnsi="Palatino Linotype"/>
          <w:sz w:val="22"/>
          <w:szCs w:val="22"/>
        </w:rPr>
        <w:t>Em relação às fontes primárias de financiamento,</w:t>
      </w:r>
      <w:r w:rsidR="005C73FB" w:rsidRPr="009D124C">
        <w:rPr>
          <w:rFonts w:ascii="Palatino Linotype" w:hAnsi="Palatino Linotype"/>
          <w:b/>
          <w:sz w:val="22"/>
          <w:szCs w:val="22"/>
        </w:rPr>
        <w:t xml:space="preserve"> </w:t>
      </w:r>
      <w:r w:rsidR="005C73FB" w:rsidRPr="009D124C">
        <w:rPr>
          <w:rFonts w:ascii="Palatino Linotype" w:hAnsi="Palatino Linotype"/>
          <w:sz w:val="22"/>
        </w:rPr>
        <w:t xml:space="preserve">os resultados indicaram o autofinanciamento </w:t>
      </w:r>
      <w:r w:rsidR="003D0CE5" w:rsidRPr="009D124C">
        <w:rPr>
          <w:rFonts w:ascii="Palatino Linotype" w:hAnsi="Palatino Linotype"/>
          <w:sz w:val="22"/>
        </w:rPr>
        <w:t>como</w:t>
      </w:r>
      <w:r w:rsidR="005C73FB" w:rsidRPr="009D124C">
        <w:rPr>
          <w:rFonts w:ascii="Palatino Linotype" w:hAnsi="Palatino Linotype"/>
          <w:sz w:val="22"/>
        </w:rPr>
        <w:t xml:space="preserve"> principal fonte </w:t>
      </w:r>
      <w:r w:rsidR="003D0CE5" w:rsidRPr="009D124C">
        <w:rPr>
          <w:rFonts w:ascii="Palatino Linotype" w:hAnsi="Palatino Linotype"/>
          <w:sz w:val="22"/>
        </w:rPr>
        <w:t>de financiamento das companhias</w:t>
      </w:r>
      <w:r w:rsidR="005C73FB" w:rsidRPr="009D124C">
        <w:rPr>
          <w:rFonts w:ascii="Palatino Linotype" w:hAnsi="Palatino Linotype"/>
          <w:sz w:val="22"/>
        </w:rPr>
        <w:t xml:space="preserve">, </w:t>
      </w:r>
      <w:r w:rsidR="003D0CE5" w:rsidRPr="009D124C">
        <w:rPr>
          <w:rFonts w:ascii="Palatino Linotype" w:hAnsi="Palatino Linotype"/>
          <w:sz w:val="22"/>
        </w:rPr>
        <w:t xml:space="preserve">sendo o </w:t>
      </w:r>
      <w:r w:rsidR="005C73FB" w:rsidRPr="009D124C">
        <w:rPr>
          <w:rFonts w:ascii="Palatino Linotype" w:hAnsi="Palatino Linotype"/>
          <w:sz w:val="22"/>
        </w:rPr>
        <w:t xml:space="preserve">financiamento externo </w:t>
      </w:r>
      <w:r w:rsidR="003D0CE5" w:rsidRPr="009D124C">
        <w:rPr>
          <w:rFonts w:ascii="Palatino Linotype" w:hAnsi="Palatino Linotype"/>
          <w:sz w:val="22"/>
        </w:rPr>
        <w:t>(endividamento) a segunda opção de financiamento</w:t>
      </w:r>
      <w:r w:rsidR="005C73FB" w:rsidRPr="009D124C">
        <w:rPr>
          <w:rFonts w:ascii="Palatino Linotype" w:hAnsi="Palatino Linotype"/>
          <w:sz w:val="22"/>
        </w:rPr>
        <w:t xml:space="preserve">, </w:t>
      </w:r>
      <w:r w:rsidR="003D0CE5" w:rsidRPr="009D124C">
        <w:rPr>
          <w:rFonts w:ascii="Palatino Linotype" w:hAnsi="Palatino Linotype"/>
          <w:sz w:val="22"/>
        </w:rPr>
        <w:t>o que</w:t>
      </w:r>
      <w:r w:rsidR="00CA6B19" w:rsidRPr="009D124C">
        <w:rPr>
          <w:rFonts w:ascii="Palatino Linotype" w:hAnsi="Palatino Linotype"/>
          <w:sz w:val="22"/>
        </w:rPr>
        <w:t xml:space="preserve"> confirma</w:t>
      </w:r>
      <w:r w:rsidR="005C73FB" w:rsidRPr="009D124C">
        <w:rPr>
          <w:rFonts w:ascii="Palatino Linotype" w:hAnsi="Palatino Linotype"/>
          <w:sz w:val="22"/>
        </w:rPr>
        <w:t xml:space="preserve"> a influência da </w:t>
      </w:r>
      <w:r w:rsidR="005C73FB" w:rsidRPr="009D124C">
        <w:rPr>
          <w:rFonts w:ascii="Palatino Linotype" w:hAnsi="Palatino Linotype"/>
          <w:i/>
          <w:sz w:val="22"/>
        </w:rPr>
        <w:t>Pecking Order Theory</w:t>
      </w:r>
      <w:r w:rsidR="005C73FB" w:rsidRPr="009D124C">
        <w:rPr>
          <w:rFonts w:ascii="Palatino Linotype" w:hAnsi="Palatino Linotype"/>
          <w:sz w:val="22"/>
        </w:rPr>
        <w:t>. E</w:t>
      </w:r>
      <w:r w:rsidR="005C73FB" w:rsidRPr="009D124C">
        <w:rPr>
          <w:rFonts w:ascii="Palatino Linotype" w:hAnsi="Palatino Linotype"/>
          <w:sz w:val="22"/>
          <w:szCs w:val="22"/>
        </w:rPr>
        <w:t xml:space="preserve">ntretanto, ao se analisar as fontes secundárias de financiamento, </w:t>
      </w:r>
      <w:r w:rsidR="005C73FB" w:rsidRPr="009D124C">
        <w:rPr>
          <w:rFonts w:ascii="Palatino Linotype" w:hAnsi="Palatino Linotype"/>
          <w:sz w:val="22"/>
        </w:rPr>
        <w:t>o endivi</w:t>
      </w:r>
      <w:r w:rsidR="003D0CE5" w:rsidRPr="009D124C">
        <w:rPr>
          <w:rFonts w:ascii="Palatino Linotype" w:hAnsi="Palatino Linotype"/>
          <w:sz w:val="22"/>
        </w:rPr>
        <w:t xml:space="preserve">damento </w:t>
      </w:r>
      <w:r w:rsidR="00CA6B19" w:rsidRPr="009D124C">
        <w:rPr>
          <w:rFonts w:ascii="Palatino Linotype" w:hAnsi="Palatino Linotype"/>
          <w:sz w:val="22"/>
        </w:rPr>
        <w:t>aparece como</w:t>
      </w:r>
      <w:r w:rsidR="003D0CE5" w:rsidRPr="009D124C">
        <w:rPr>
          <w:rFonts w:ascii="Palatino Linotype" w:hAnsi="Palatino Linotype"/>
          <w:sz w:val="22"/>
        </w:rPr>
        <w:t xml:space="preserve"> primeira opção</w:t>
      </w:r>
      <w:r w:rsidR="005C73FB" w:rsidRPr="009D124C">
        <w:rPr>
          <w:rFonts w:ascii="Palatino Linotype" w:hAnsi="Palatino Linotype"/>
          <w:sz w:val="22"/>
        </w:rPr>
        <w:t>, seguido pela emissão de ações.</w:t>
      </w:r>
      <w:r w:rsidR="003D0CE5" w:rsidRPr="009D124C">
        <w:rPr>
          <w:rFonts w:ascii="Palatino Linotype" w:hAnsi="Palatino Linotype"/>
          <w:sz w:val="22"/>
        </w:rPr>
        <w:t xml:space="preserve"> </w:t>
      </w:r>
      <w:r w:rsidR="00CA6B19" w:rsidRPr="009D124C">
        <w:rPr>
          <w:rFonts w:ascii="Palatino Linotype" w:hAnsi="Palatino Linotype"/>
          <w:sz w:val="22"/>
        </w:rPr>
        <w:t>Assim</w:t>
      </w:r>
      <w:r w:rsidR="003D0CE5" w:rsidRPr="009D124C">
        <w:rPr>
          <w:rFonts w:ascii="Palatino Linotype" w:hAnsi="Palatino Linotype"/>
          <w:sz w:val="22"/>
        </w:rPr>
        <w:t xml:space="preserve">, a </w:t>
      </w:r>
      <w:r w:rsidR="003D0CE5" w:rsidRPr="009D124C">
        <w:rPr>
          <w:rFonts w:ascii="Palatino Linotype" w:hAnsi="Palatino Linotype"/>
          <w:i/>
          <w:sz w:val="22"/>
          <w:szCs w:val="22"/>
        </w:rPr>
        <w:t xml:space="preserve">Trade Off Theory </w:t>
      </w:r>
      <w:r w:rsidR="003D0CE5" w:rsidRPr="009D124C">
        <w:rPr>
          <w:rFonts w:ascii="Palatino Linotype" w:hAnsi="Palatino Linotype"/>
          <w:sz w:val="22"/>
          <w:szCs w:val="22"/>
        </w:rPr>
        <w:t xml:space="preserve">aparece como </w:t>
      </w:r>
      <w:r w:rsidR="00CA6B19" w:rsidRPr="009D124C">
        <w:rPr>
          <w:rFonts w:ascii="Palatino Linotype" w:hAnsi="Palatino Linotype"/>
          <w:sz w:val="22"/>
          <w:szCs w:val="22"/>
        </w:rPr>
        <w:t xml:space="preserve">mais </w:t>
      </w:r>
      <w:r w:rsidR="003D0CE5" w:rsidRPr="009D124C">
        <w:rPr>
          <w:rFonts w:ascii="Palatino Linotype" w:hAnsi="Palatino Linotype"/>
          <w:sz w:val="22"/>
          <w:szCs w:val="22"/>
        </w:rPr>
        <w:t xml:space="preserve">adequada para explicar o contexto das companhias. </w:t>
      </w:r>
      <w:r w:rsidR="00CA6B19" w:rsidRPr="009D124C">
        <w:rPr>
          <w:rFonts w:ascii="Palatino Linotype" w:hAnsi="Palatino Linotype"/>
          <w:sz w:val="22"/>
          <w:szCs w:val="22"/>
        </w:rPr>
        <w:t>C</w:t>
      </w:r>
      <w:r w:rsidR="003D0CE5" w:rsidRPr="009D124C">
        <w:rPr>
          <w:rFonts w:ascii="Palatino Linotype" w:hAnsi="Palatino Linotype"/>
          <w:sz w:val="22"/>
        </w:rPr>
        <w:t xml:space="preserve">onclui-se </w:t>
      </w:r>
      <w:r w:rsidR="009D124C">
        <w:rPr>
          <w:rFonts w:ascii="Palatino Linotype" w:hAnsi="Palatino Linotype"/>
          <w:sz w:val="22"/>
        </w:rPr>
        <w:t xml:space="preserve">que </w:t>
      </w:r>
      <w:r w:rsidR="00CA6B19" w:rsidRPr="009D124C">
        <w:rPr>
          <w:rFonts w:ascii="Palatino Linotype" w:hAnsi="Palatino Linotype"/>
          <w:sz w:val="22"/>
        </w:rPr>
        <w:t>ambas teorias</w:t>
      </w:r>
      <w:r w:rsidR="003D0CE5" w:rsidRPr="009D124C">
        <w:rPr>
          <w:rFonts w:ascii="Palatino Linotype" w:hAnsi="Palatino Linotype"/>
          <w:sz w:val="22"/>
        </w:rPr>
        <w:t>, podem ser utilizadas para se entender as formas de financiamentos escolhidas pelas companhias, o que corrobora com os achados de Kaveski et al (2015).</w:t>
      </w:r>
      <w:r w:rsidR="003D0CE5" w:rsidRPr="009D124C">
        <w:rPr>
          <w:rFonts w:ascii="Palatino Linotype" w:hAnsi="Palatino Linotype"/>
          <w:i/>
          <w:sz w:val="22"/>
          <w:szCs w:val="22"/>
        </w:rPr>
        <w:t xml:space="preserve"> </w:t>
      </w:r>
    </w:p>
    <w:p w14:paraId="3424A1A6" w14:textId="54F3DC65" w:rsidR="009D124C" w:rsidRDefault="001F6DCC" w:rsidP="00C36423">
      <w:pPr>
        <w:ind w:firstLine="0"/>
        <w:rPr>
          <w:rFonts w:ascii="Palatino Linotype" w:hAnsi="Palatino Linotype"/>
          <w:i/>
          <w:color w:val="4F81BD" w:themeColor="accent1"/>
          <w:sz w:val="22"/>
        </w:rPr>
      </w:pPr>
      <w:r w:rsidRPr="001F6DCC">
        <w:rPr>
          <w:rFonts w:ascii="Palatino Linotype" w:hAnsi="Palatino Linotype"/>
          <w:b/>
          <w:sz w:val="22"/>
        </w:rPr>
        <w:t>Contribuições</w:t>
      </w:r>
      <w:r w:rsidRPr="00AE3DB7">
        <w:rPr>
          <w:rFonts w:ascii="Palatino Linotype" w:hAnsi="Palatino Linotype"/>
          <w:b/>
          <w:sz w:val="22"/>
        </w:rPr>
        <w:t>:</w:t>
      </w:r>
      <w:r w:rsidR="007A4ECE" w:rsidRPr="00AE3DB7">
        <w:rPr>
          <w:rFonts w:ascii="Palatino Linotype" w:hAnsi="Palatino Linotype"/>
          <w:b/>
          <w:sz w:val="22"/>
        </w:rPr>
        <w:t xml:space="preserve"> </w:t>
      </w:r>
      <w:r w:rsidR="009D124C">
        <w:rPr>
          <w:rFonts w:ascii="Palatino Linotype" w:hAnsi="Palatino Linotype"/>
          <w:sz w:val="22"/>
        </w:rPr>
        <w:t>E</w:t>
      </w:r>
      <w:r w:rsidR="00C36423">
        <w:rPr>
          <w:rFonts w:ascii="Palatino Linotype" w:hAnsi="Palatino Linotype"/>
          <w:sz w:val="22"/>
        </w:rPr>
        <w:t xml:space="preserve">ste estudo </w:t>
      </w:r>
      <w:r w:rsidR="00FC4AE9">
        <w:rPr>
          <w:rFonts w:ascii="Palatino Linotype" w:hAnsi="Palatino Linotype"/>
          <w:sz w:val="22"/>
        </w:rPr>
        <w:t xml:space="preserve">traz um avanço na </w:t>
      </w:r>
      <w:r w:rsidR="008609DE">
        <w:rPr>
          <w:rFonts w:ascii="Palatino Linotype" w:hAnsi="Palatino Linotype"/>
          <w:sz w:val="22"/>
        </w:rPr>
        <w:t xml:space="preserve">discussão a respeito da forma de financiamento das companhias abertas brasileiras, </w:t>
      </w:r>
      <w:r w:rsidR="00CA6B19">
        <w:rPr>
          <w:rFonts w:ascii="Palatino Linotype" w:hAnsi="Palatino Linotype"/>
          <w:sz w:val="22"/>
        </w:rPr>
        <w:t>trazendo evidências de que as companhias brasileiras</w:t>
      </w:r>
      <w:r w:rsidR="006463E6">
        <w:rPr>
          <w:rFonts w:ascii="Palatino Linotype" w:hAnsi="Palatino Linotype"/>
          <w:sz w:val="22"/>
        </w:rPr>
        <w:t xml:space="preserve"> optam</w:t>
      </w:r>
      <w:r w:rsidR="00CA6B19">
        <w:rPr>
          <w:rFonts w:ascii="Palatino Linotype" w:hAnsi="Palatino Linotype"/>
          <w:sz w:val="22"/>
        </w:rPr>
        <w:t xml:space="preserve"> pelo autofinanciamento e posteriormente pelo financiamento exter</w:t>
      </w:r>
      <w:r w:rsidR="009D124C">
        <w:rPr>
          <w:rFonts w:ascii="Palatino Linotype" w:hAnsi="Palatino Linotype"/>
          <w:sz w:val="22"/>
        </w:rPr>
        <w:t>no o que confirma os pressupostos</w:t>
      </w:r>
      <w:r w:rsidR="0024452C">
        <w:rPr>
          <w:rFonts w:ascii="Palatino Linotype" w:hAnsi="Palatino Linotype"/>
          <w:sz w:val="22"/>
        </w:rPr>
        <w:t xml:space="preserve"> da</w:t>
      </w:r>
      <w:r w:rsidR="00CA6B19">
        <w:rPr>
          <w:rFonts w:ascii="Palatino Linotype" w:hAnsi="Palatino Linotype"/>
          <w:sz w:val="22"/>
        </w:rPr>
        <w:t xml:space="preserve"> </w:t>
      </w:r>
      <w:r w:rsidR="009D124C" w:rsidRPr="009D124C">
        <w:rPr>
          <w:rFonts w:ascii="Palatino Linotype" w:hAnsi="Palatino Linotype"/>
          <w:i/>
          <w:sz w:val="22"/>
        </w:rPr>
        <w:t>Pecking Order Theory.</w:t>
      </w:r>
    </w:p>
    <w:p w14:paraId="3424A1A7" w14:textId="77777777" w:rsidR="00C36423" w:rsidRDefault="00FC4AE9" w:rsidP="00C36423">
      <w:pPr>
        <w:ind w:firstLine="0"/>
        <w:rPr>
          <w:rFonts w:ascii="Palatino Linotype" w:hAnsi="Palatino Linotype"/>
          <w:sz w:val="22"/>
          <w:lang w:val="en-US"/>
        </w:rPr>
      </w:pPr>
      <w:r>
        <w:rPr>
          <w:rFonts w:ascii="Palatino Linotype" w:hAnsi="Palatino Linotype"/>
          <w:sz w:val="22"/>
        </w:rPr>
        <w:t xml:space="preserve"> </w:t>
      </w:r>
      <w:r w:rsidR="00C36423" w:rsidRPr="00F66EED">
        <w:rPr>
          <w:rFonts w:ascii="Palatino Linotype" w:hAnsi="Palatino Linotype"/>
          <w:b/>
          <w:sz w:val="22"/>
        </w:rPr>
        <w:t xml:space="preserve">Palavras chave: </w:t>
      </w:r>
      <w:r w:rsidR="00C36423" w:rsidRPr="00F66EED">
        <w:rPr>
          <w:rFonts w:ascii="Palatino Linotype" w:hAnsi="Palatino Linotype"/>
          <w:sz w:val="22"/>
        </w:rPr>
        <w:t xml:space="preserve">Forma de financiamento. </w:t>
      </w:r>
      <w:r w:rsidR="00C36423" w:rsidRPr="00F66EED">
        <w:rPr>
          <w:rFonts w:ascii="Palatino Linotype" w:hAnsi="Palatino Linotype"/>
          <w:i/>
          <w:sz w:val="22"/>
          <w:lang w:val="en-US"/>
        </w:rPr>
        <w:t>Pecking Order Theory</w:t>
      </w:r>
      <w:r w:rsidR="00C36423" w:rsidRPr="00F66EED">
        <w:rPr>
          <w:rFonts w:ascii="Palatino Linotype" w:hAnsi="Palatino Linotype"/>
          <w:sz w:val="22"/>
          <w:lang w:val="en-US"/>
        </w:rPr>
        <w:t xml:space="preserve">. </w:t>
      </w:r>
      <w:r w:rsidR="00C36423" w:rsidRPr="00F66EED">
        <w:rPr>
          <w:rFonts w:ascii="Palatino Linotype" w:hAnsi="Palatino Linotype"/>
          <w:i/>
          <w:sz w:val="22"/>
          <w:lang w:val="en-US"/>
        </w:rPr>
        <w:t>Trade Off Theory</w:t>
      </w:r>
      <w:r w:rsidR="00C36423" w:rsidRPr="00F66EED">
        <w:rPr>
          <w:rFonts w:ascii="Palatino Linotype" w:hAnsi="Palatino Linotype"/>
          <w:sz w:val="22"/>
          <w:lang w:val="en-US"/>
        </w:rPr>
        <w:t>.</w:t>
      </w:r>
    </w:p>
    <w:p w14:paraId="62F7EAB6" w14:textId="77777777" w:rsidR="006B269F" w:rsidRDefault="006B269F" w:rsidP="00C36423">
      <w:pPr>
        <w:ind w:firstLine="0"/>
        <w:rPr>
          <w:rFonts w:ascii="Palatino Linotype" w:hAnsi="Palatino Linotype"/>
          <w:sz w:val="22"/>
          <w:lang w:val="en-US"/>
        </w:rPr>
      </w:pPr>
    </w:p>
    <w:p w14:paraId="5BF429AC" w14:textId="35A6FC37" w:rsidR="006B269F" w:rsidRPr="0004367F" w:rsidRDefault="006B269F" w:rsidP="006B269F">
      <w:pPr>
        <w:pStyle w:val="PargrafodaLista"/>
        <w:ind w:left="0" w:firstLine="0"/>
        <w:rPr>
          <w:rFonts w:ascii="Palatino Linotype" w:hAnsi="Palatino Linotype"/>
          <w:b/>
          <w:sz w:val="22"/>
          <w:szCs w:val="22"/>
          <w:lang w:val="en-US"/>
        </w:rPr>
      </w:pPr>
      <w:r w:rsidRPr="0004367F">
        <w:rPr>
          <w:rFonts w:ascii="Palatino Linotype" w:hAnsi="Palatino Linotype"/>
          <w:b/>
          <w:sz w:val="22"/>
          <w:szCs w:val="22"/>
          <w:lang w:val="en-US"/>
        </w:rPr>
        <w:t>ABSTRACT</w:t>
      </w:r>
    </w:p>
    <w:p w14:paraId="62324922"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Objective</w:t>
      </w:r>
      <w:r w:rsidRPr="0004367F">
        <w:rPr>
          <w:rFonts w:ascii="Palatino Linotype" w:hAnsi="Palatino Linotype"/>
          <w:sz w:val="22"/>
          <w:szCs w:val="22"/>
          <w:lang w:val="en-US"/>
        </w:rPr>
        <w:t>: To investigate the financing profile of listed companies in Brazil listed on BM&amp;FBovespa, comprising the period from 2005 to 2015.</w:t>
      </w:r>
    </w:p>
    <w:p w14:paraId="3E2C8581"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Background</w:t>
      </w:r>
      <w:r w:rsidRPr="0004367F">
        <w:rPr>
          <w:rFonts w:ascii="Palatino Linotype" w:hAnsi="Palatino Linotype"/>
          <w:sz w:val="22"/>
          <w:szCs w:val="22"/>
          <w:lang w:val="en-US"/>
        </w:rPr>
        <w:t>: Finance Theories (</w:t>
      </w:r>
      <w:r w:rsidRPr="0004367F">
        <w:rPr>
          <w:rFonts w:ascii="Palatino Linotype" w:hAnsi="Palatino Linotype"/>
          <w:i/>
          <w:sz w:val="22"/>
          <w:szCs w:val="22"/>
          <w:lang w:val="en-US"/>
        </w:rPr>
        <w:t>Pecking Order Theory</w:t>
      </w:r>
      <w:r w:rsidRPr="0004367F">
        <w:rPr>
          <w:rFonts w:ascii="Palatino Linotype" w:hAnsi="Palatino Linotype"/>
          <w:sz w:val="22"/>
          <w:szCs w:val="22"/>
          <w:lang w:val="en-US"/>
        </w:rPr>
        <w:t xml:space="preserve"> and </w:t>
      </w:r>
      <w:r w:rsidRPr="0004367F">
        <w:rPr>
          <w:rFonts w:ascii="Palatino Linotype" w:hAnsi="Palatino Linotype"/>
          <w:i/>
          <w:sz w:val="22"/>
          <w:szCs w:val="22"/>
          <w:lang w:val="en-US"/>
        </w:rPr>
        <w:t>Trade Off Theory</w:t>
      </w:r>
      <w:r w:rsidRPr="0004367F">
        <w:rPr>
          <w:rFonts w:ascii="Palatino Linotype" w:hAnsi="Palatino Linotype"/>
          <w:sz w:val="22"/>
          <w:szCs w:val="22"/>
          <w:lang w:val="en-US"/>
        </w:rPr>
        <w:t>) attempt to explain the funding policy adopted by the companies. These theories support the discussion regarding the capital structure and the form of financing of the companies.</w:t>
      </w:r>
    </w:p>
    <w:p w14:paraId="4D0A6BC5"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Method</w:t>
      </w:r>
      <w:r w:rsidRPr="0004367F">
        <w:rPr>
          <w:rFonts w:ascii="Palatino Linotype" w:hAnsi="Palatino Linotype"/>
          <w:sz w:val="22"/>
          <w:szCs w:val="22"/>
          <w:lang w:val="en-US"/>
        </w:rPr>
        <w:t>: The methodology proposed by Singh and Hamid (1992) was used to identify how companies finance their investments. Total assets, total liabilities, dividends paid and net income were used.</w:t>
      </w:r>
    </w:p>
    <w:p w14:paraId="23D55077"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Results</w:t>
      </w:r>
      <w:r w:rsidRPr="0004367F">
        <w:rPr>
          <w:rFonts w:ascii="Palatino Linotype" w:hAnsi="Palatino Linotype"/>
          <w:sz w:val="22"/>
          <w:szCs w:val="22"/>
          <w:lang w:val="en-US"/>
        </w:rPr>
        <w:t xml:space="preserve">: Regarding primary sources of financing, the results indicated self-financing as the main source of financing for the companies, with external financing (debt) being the second financing option, which confirms the influence of the </w:t>
      </w:r>
      <w:r w:rsidRPr="0004367F">
        <w:rPr>
          <w:rFonts w:ascii="Palatino Linotype" w:hAnsi="Palatino Linotype"/>
          <w:i/>
          <w:sz w:val="22"/>
          <w:szCs w:val="22"/>
          <w:lang w:val="en-US"/>
        </w:rPr>
        <w:t>Pecking Order Theory</w:t>
      </w:r>
      <w:r w:rsidRPr="0004367F">
        <w:rPr>
          <w:rFonts w:ascii="Palatino Linotype" w:hAnsi="Palatino Linotype"/>
          <w:sz w:val="22"/>
          <w:szCs w:val="22"/>
          <w:lang w:val="en-US"/>
        </w:rPr>
        <w:t xml:space="preserve">. However, when analyzing the secondary sources of financing, indebtedness appears as the first option, followed by the issuance of shares. Thus, </w:t>
      </w:r>
      <w:r w:rsidRPr="0004367F">
        <w:rPr>
          <w:rFonts w:ascii="Palatino Linotype" w:hAnsi="Palatino Linotype"/>
          <w:i/>
          <w:sz w:val="22"/>
          <w:szCs w:val="22"/>
          <w:lang w:val="en-US"/>
        </w:rPr>
        <w:t>Trade Off Theory</w:t>
      </w:r>
      <w:r w:rsidRPr="0004367F">
        <w:rPr>
          <w:rFonts w:ascii="Palatino Linotype" w:hAnsi="Palatino Linotype"/>
          <w:sz w:val="22"/>
          <w:szCs w:val="22"/>
          <w:lang w:val="en-US"/>
        </w:rPr>
        <w:t xml:space="preserve"> appears to be best suited to explain the context of companies. It is concluded that both theories can be used to understand the forms of financing chosen by the companies, which corroborates with the findings of Kaveski et al (2015).</w:t>
      </w:r>
    </w:p>
    <w:p w14:paraId="497CAE49"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Contributions</w:t>
      </w:r>
      <w:r w:rsidRPr="0004367F">
        <w:rPr>
          <w:rFonts w:ascii="Palatino Linotype" w:hAnsi="Palatino Linotype"/>
          <w:sz w:val="22"/>
          <w:szCs w:val="22"/>
          <w:lang w:val="en-US"/>
        </w:rPr>
        <w:t xml:space="preserve">: This study brings a breakthrough in the discussion about the financing of Brazilian public companies, bringing evidence that Brazilian companies Opt for self-financing and later for external financing which confirms the assumptions of the </w:t>
      </w:r>
      <w:r w:rsidRPr="0004367F">
        <w:rPr>
          <w:rFonts w:ascii="Palatino Linotype" w:hAnsi="Palatino Linotype"/>
          <w:i/>
          <w:sz w:val="22"/>
          <w:szCs w:val="22"/>
          <w:lang w:val="en-US"/>
        </w:rPr>
        <w:t>Pecking Order Theory.</w:t>
      </w:r>
    </w:p>
    <w:p w14:paraId="4F37042E" w14:textId="77777777" w:rsidR="002A51B1" w:rsidRPr="002A51B1" w:rsidRDefault="002A51B1" w:rsidP="002A51B1">
      <w:pPr>
        <w:pStyle w:val="PargrafodaLista"/>
        <w:ind w:left="0" w:firstLine="0"/>
        <w:rPr>
          <w:rFonts w:ascii="Palatino Linotype" w:hAnsi="Palatino Linotype"/>
          <w:sz w:val="22"/>
          <w:szCs w:val="22"/>
        </w:rPr>
      </w:pPr>
      <w:r w:rsidRPr="0004367F">
        <w:rPr>
          <w:rFonts w:ascii="Palatino Linotype" w:hAnsi="Palatino Linotype"/>
          <w:b/>
          <w:sz w:val="22"/>
          <w:szCs w:val="22"/>
          <w:lang w:val="en-US"/>
        </w:rPr>
        <w:t>Keywords</w:t>
      </w:r>
      <w:r w:rsidRPr="0004367F">
        <w:rPr>
          <w:rFonts w:ascii="Palatino Linotype" w:hAnsi="Palatino Linotype"/>
          <w:sz w:val="22"/>
          <w:szCs w:val="22"/>
          <w:lang w:val="en-US"/>
        </w:rPr>
        <w:t>: Financing method</w:t>
      </w:r>
      <w:r w:rsidRPr="0004367F">
        <w:rPr>
          <w:rFonts w:ascii="Palatino Linotype" w:hAnsi="Palatino Linotype"/>
          <w:i/>
          <w:sz w:val="22"/>
          <w:szCs w:val="22"/>
          <w:lang w:val="en-US"/>
        </w:rPr>
        <w:t>. Pecking Order Theory</w:t>
      </w:r>
      <w:r w:rsidRPr="0004367F">
        <w:rPr>
          <w:rFonts w:ascii="Palatino Linotype" w:hAnsi="Palatino Linotype"/>
          <w:sz w:val="22"/>
          <w:szCs w:val="22"/>
          <w:lang w:val="en-US"/>
        </w:rPr>
        <w:t>.</w:t>
      </w:r>
      <w:r w:rsidRPr="0004367F">
        <w:rPr>
          <w:rFonts w:ascii="Palatino Linotype" w:hAnsi="Palatino Linotype"/>
          <w:i/>
          <w:sz w:val="22"/>
          <w:szCs w:val="22"/>
          <w:lang w:val="en-US"/>
        </w:rPr>
        <w:t xml:space="preserve"> </w:t>
      </w:r>
      <w:r w:rsidRPr="002A51B1">
        <w:rPr>
          <w:rFonts w:ascii="Palatino Linotype" w:hAnsi="Palatino Linotype"/>
          <w:i/>
          <w:sz w:val="22"/>
          <w:szCs w:val="22"/>
        </w:rPr>
        <w:t>Trade Off Theory</w:t>
      </w:r>
      <w:r w:rsidRPr="002A51B1">
        <w:rPr>
          <w:rFonts w:ascii="Palatino Linotype" w:hAnsi="Palatino Linotype"/>
          <w:sz w:val="22"/>
          <w:szCs w:val="22"/>
        </w:rPr>
        <w:t>.</w:t>
      </w:r>
    </w:p>
    <w:p w14:paraId="3424A1A8" w14:textId="77777777" w:rsidR="00C36423" w:rsidRDefault="00C36423" w:rsidP="006B269F">
      <w:pPr>
        <w:pStyle w:val="PargrafodaLista"/>
        <w:ind w:left="0" w:firstLine="0"/>
        <w:rPr>
          <w:rFonts w:ascii="Palatino Linotype" w:hAnsi="Palatino Linotype"/>
          <w:b/>
          <w:sz w:val="22"/>
          <w:szCs w:val="22"/>
        </w:rPr>
      </w:pPr>
    </w:p>
    <w:p w14:paraId="3424A1AB" w14:textId="77777777" w:rsidR="00005715" w:rsidRPr="00E4187D" w:rsidRDefault="00B67D4D" w:rsidP="00B67D4D">
      <w:pPr>
        <w:pStyle w:val="Ttulo1"/>
        <w:numPr>
          <w:ilvl w:val="0"/>
          <w:numId w:val="0"/>
        </w:numPr>
        <w:spacing w:before="0" w:line="240" w:lineRule="auto"/>
        <w:rPr>
          <w:rFonts w:ascii="Palatino Linotype" w:hAnsi="Palatino Linotype"/>
          <w:sz w:val="22"/>
          <w:szCs w:val="22"/>
        </w:rPr>
      </w:pPr>
      <w:r w:rsidRPr="00FB6EF7">
        <w:rPr>
          <w:rFonts w:ascii="Palatino Linotype" w:eastAsiaTheme="minorHAnsi" w:hAnsi="Palatino Linotype" w:cstheme="minorBidi"/>
          <w:bCs w:val="0"/>
          <w:caps w:val="0"/>
          <w:sz w:val="22"/>
          <w:szCs w:val="22"/>
        </w:rPr>
        <w:t>1</w:t>
      </w:r>
      <w:r w:rsidRPr="00FB6EF7">
        <w:rPr>
          <w:rFonts w:ascii="Palatino Linotype" w:eastAsiaTheme="minorHAnsi" w:hAnsi="Palatino Linotype" w:cstheme="minorBidi"/>
          <w:b w:val="0"/>
          <w:bCs w:val="0"/>
          <w:caps w:val="0"/>
          <w:sz w:val="22"/>
          <w:szCs w:val="22"/>
        </w:rPr>
        <w:t xml:space="preserve"> </w:t>
      </w:r>
      <w:r w:rsidR="00005715" w:rsidRPr="00E4187D">
        <w:rPr>
          <w:rFonts w:ascii="Palatino Linotype" w:hAnsi="Palatino Linotype"/>
          <w:sz w:val="22"/>
          <w:szCs w:val="22"/>
        </w:rPr>
        <w:t>INTRODUÇÃO</w:t>
      </w:r>
    </w:p>
    <w:p w14:paraId="3424A1AD" w14:textId="77777777" w:rsidR="00E77901" w:rsidRDefault="00005715" w:rsidP="00E4187D">
      <w:pPr>
        <w:rPr>
          <w:rFonts w:ascii="Palatino Linotype" w:hAnsi="Palatino Linotype"/>
          <w:sz w:val="22"/>
        </w:rPr>
      </w:pPr>
      <w:r w:rsidRPr="00E4187D">
        <w:rPr>
          <w:rFonts w:ascii="Palatino Linotype" w:hAnsi="Palatino Linotype"/>
          <w:sz w:val="22"/>
        </w:rPr>
        <w:t>Ao pensar sobre a forma de financiamento que as companhias utilizam para financiar seu crescimento e consequentemente sua estrutura de capital, sob uma visão mais geral, observa-se uma questão ainda sem resposta e sujeita a uma série de hipóteses que poderão ser confirmadas ou não, dependendo de características e contextos específicos. Isto é, mesmo com o auxílio de evidências d</w:t>
      </w:r>
      <w:r w:rsidR="0078671E">
        <w:rPr>
          <w:rFonts w:ascii="Palatino Linotype" w:hAnsi="Palatino Linotype"/>
          <w:sz w:val="22"/>
        </w:rPr>
        <w:t>e diversas pesquisas (Modigliani</w:t>
      </w:r>
      <w:r w:rsidRPr="00E4187D">
        <w:rPr>
          <w:rFonts w:ascii="Palatino Linotype" w:hAnsi="Palatino Linotype"/>
          <w:sz w:val="22"/>
        </w:rPr>
        <w:t xml:space="preserve"> &amp; Miller, 1958; Myers &amp; Majluf, 1984; Harris &amp; Raviv, 1991; Perobelli &amp; Famá, 2002; Procianoy &amp; Schnorrenberger, 2004; Albanez &amp; Valle, 2009; Bastos &amp; Nakamura, 2009; Padilha, Michels &amp; Silva, 2015; Tani &amp; Albanez, 2016) realizadas sob a estrutura de capital e/ou a forma de financiamento que as empresas adotam, observa-se uma variedade de resultados ora convergentes ora divergentes, motivados por contextos, características institucionais, sistema legal, países e períodos diferentes. </w:t>
      </w:r>
    </w:p>
    <w:p w14:paraId="3424A1AE" w14:textId="77777777" w:rsidR="00005715" w:rsidRPr="00E4187D" w:rsidRDefault="00005715" w:rsidP="00E4187D">
      <w:pPr>
        <w:rPr>
          <w:rFonts w:ascii="Palatino Linotype" w:hAnsi="Palatino Linotype"/>
          <w:sz w:val="22"/>
        </w:rPr>
      </w:pPr>
      <w:r w:rsidRPr="00E4187D">
        <w:rPr>
          <w:rFonts w:ascii="Palatino Linotype" w:hAnsi="Palatino Linotype"/>
          <w:sz w:val="22"/>
        </w:rPr>
        <w:t>Singh (1995) reforça essa ideia ao sinalizar diferenças na determinação da forma de financiamento das companhias</w:t>
      </w:r>
      <w:r w:rsidR="00C140FF">
        <w:rPr>
          <w:rFonts w:ascii="Palatino Linotype" w:hAnsi="Palatino Linotype"/>
          <w:sz w:val="22"/>
        </w:rPr>
        <w:t>,</w:t>
      </w:r>
      <w:r w:rsidRPr="00E4187D">
        <w:rPr>
          <w:rFonts w:ascii="Palatino Linotype" w:hAnsi="Palatino Linotype"/>
          <w:sz w:val="22"/>
        </w:rPr>
        <w:t xml:space="preserve"> provocadas por fatores como a estrutura tributária, custo de transação e arranjos institucionais diferentes.</w:t>
      </w:r>
    </w:p>
    <w:p w14:paraId="3424A1AF" w14:textId="77777777" w:rsidR="00005715" w:rsidRPr="00E4187D" w:rsidRDefault="00005715" w:rsidP="00E4187D">
      <w:pPr>
        <w:rPr>
          <w:rFonts w:ascii="Palatino Linotype" w:hAnsi="Palatino Linotype"/>
          <w:sz w:val="22"/>
        </w:rPr>
      </w:pPr>
      <w:r w:rsidRPr="00E4187D">
        <w:rPr>
          <w:rFonts w:ascii="Palatino Linotype" w:hAnsi="Palatino Linotype"/>
          <w:sz w:val="22"/>
        </w:rPr>
        <w:t>Quanto às</w:t>
      </w:r>
      <w:r w:rsidR="00E77901">
        <w:rPr>
          <w:rFonts w:ascii="Palatino Linotype" w:hAnsi="Palatino Linotype"/>
          <w:sz w:val="22"/>
        </w:rPr>
        <w:t xml:space="preserve"> características institucionais,</w:t>
      </w:r>
      <w:r w:rsidRPr="00E4187D">
        <w:rPr>
          <w:rFonts w:ascii="Palatino Linotype" w:hAnsi="Palatino Linotype"/>
          <w:sz w:val="22"/>
        </w:rPr>
        <w:t xml:space="preserve"> Nobes (1998); Farias e Farias (2012) sustentam que em países de cultura tipo 1</w:t>
      </w:r>
      <w:r w:rsidR="001A068A">
        <w:rPr>
          <w:rFonts w:ascii="Palatino Linotype" w:hAnsi="Palatino Linotype"/>
          <w:sz w:val="22"/>
        </w:rPr>
        <w:t>,</w:t>
      </w:r>
      <w:r w:rsidRPr="00E4187D">
        <w:rPr>
          <w:rFonts w:ascii="Palatino Linotype" w:hAnsi="Palatino Linotype"/>
          <w:sz w:val="22"/>
        </w:rPr>
        <w:t xml:space="preserve"> com forte </w:t>
      </w:r>
      <w:r w:rsidRPr="00E4187D">
        <w:rPr>
          <w:rFonts w:ascii="Palatino Linotype" w:hAnsi="Palatino Linotype"/>
          <w:i/>
          <w:sz w:val="22"/>
        </w:rPr>
        <w:t>outsider equity</w:t>
      </w:r>
      <w:r w:rsidRPr="00E4187D">
        <w:rPr>
          <w:rFonts w:ascii="Palatino Linotype" w:hAnsi="Palatino Linotype"/>
          <w:sz w:val="22"/>
        </w:rPr>
        <w:t xml:space="preserve"> e contabilidade classe A, as companhias possuem forte influência de recursos de investidores na composição de seu capital, enquanto que, </w:t>
      </w:r>
      <w:r w:rsidR="001A068A">
        <w:rPr>
          <w:rFonts w:ascii="Palatino Linotype" w:hAnsi="Palatino Linotype"/>
          <w:sz w:val="22"/>
        </w:rPr>
        <w:t xml:space="preserve">em </w:t>
      </w:r>
      <w:r w:rsidRPr="00E4187D">
        <w:rPr>
          <w:rFonts w:ascii="Palatino Linotype" w:hAnsi="Palatino Linotype"/>
          <w:sz w:val="22"/>
        </w:rPr>
        <w:t>países de cultura tipo 2</w:t>
      </w:r>
      <w:r w:rsidR="001A068A">
        <w:rPr>
          <w:rFonts w:ascii="Palatino Linotype" w:hAnsi="Palatino Linotype"/>
          <w:sz w:val="22"/>
        </w:rPr>
        <w:t>,</w:t>
      </w:r>
      <w:r w:rsidRPr="00E4187D">
        <w:rPr>
          <w:rFonts w:ascii="Palatino Linotype" w:hAnsi="Palatino Linotype"/>
          <w:sz w:val="22"/>
        </w:rPr>
        <w:t xml:space="preserve"> com fraco </w:t>
      </w:r>
      <w:r w:rsidRPr="00E4187D">
        <w:rPr>
          <w:rFonts w:ascii="Palatino Linotype" w:hAnsi="Palatino Linotype"/>
          <w:i/>
          <w:sz w:val="22"/>
        </w:rPr>
        <w:t>outsider equity</w:t>
      </w:r>
      <w:r w:rsidRPr="00E4187D">
        <w:rPr>
          <w:rFonts w:ascii="Palatino Linotype" w:hAnsi="Palatino Linotype"/>
          <w:sz w:val="22"/>
        </w:rPr>
        <w:t xml:space="preserve"> e contabilidade classe B, as companhias possuem uma fraca presença de recursos de investidores na formação de seu capital, as quais b</w:t>
      </w:r>
      <w:r w:rsidR="00E77901">
        <w:rPr>
          <w:rFonts w:ascii="Palatino Linotype" w:hAnsi="Palatino Linotype"/>
          <w:sz w:val="22"/>
        </w:rPr>
        <w:t xml:space="preserve">uscam recursos, em sua maioria </w:t>
      </w:r>
      <w:r w:rsidRPr="00E4187D">
        <w:rPr>
          <w:rFonts w:ascii="Palatino Linotype" w:hAnsi="Palatino Linotype"/>
          <w:sz w:val="22"/>
        </w:rPr>
        <w:t>nos bancos.</w:t>
      </w:r>
    </w:p>
    <w:p w14:paraId="3424A1B0" w14:textId="77777777" w:rsidR="00005715" w:rsidRPr="00E4187D" w:rsidRDefault="00005715" w:rsidP="00E4187D">
      <w:pPr>
        <w:rPr>
          <w:rFonts w:ascii="Palatino Linotype" w:hAnsi="Palatino Linotype"/>
          <w:sz w:val="22"/>
        </w:rPr>
      </w:pPr>
      <w:r w:rsidRPr="00E4187D">
        <w:rPr>
          <w:rFonts w:ascii="Palatino Linotype" w:hAnsi="Palatino Linotype"/>
          <w:sz w:val="22"/>
        </w:rPr>
        <w:lastRenderedPageBreak/>
        <w:t>Ball, Kothari e Robin (2000); Lopes e Walker (2008) defendem que o sistema legal que determinado país adota pode ajudar a entender a estrutura de capital ou a forma de financia</w:t>
      </w:r>
      <w:r w:rsidR="00265FF0">
        <w:rPr>
          <w:rFonts w:ascii="Palatino Linotype" w:hAnsi="Palatino Linotype"/>
          <w:sz w:val="22"/>
        </w:rPr>
        <w:t xml:space="preserve">mento que as companhias adotam, </w:t>
      </w:r>
      <w:r w:rsidRPr="00E4187D">
        <w:rPr>
          <w:rFonts w:ascii="Palatino Linotype" w:hAnsi="Palatino Linotype"/>
          <w:sz w:val="22"/>
        </w:rPr>
        <w:t xml:space="preserve">segundo </w:t>
      </w:r>
      <w:r w:rsidR="00265FF0">
        <w:rPr>
          <w:rFonts w:ascii="Palatino Linotype" w:hAnsi="Palatino Linotype"/>
          <w:sz w:val="22"/>
        </w:rPr>
        <w:t>os</w:t>
      </w:r>
      <w:r w:rsidRPr="00E4187D">
        <w:rPr>
          <w:rFonts w:ascii="Palatino Linotype" w:hAnsi="Palatino Linotype"/>
          <w:sz w:val="22"/>
        </w:rPr>
        <w:t xml:space="preserve"> autores, países de características </w:t>
      </w:r>
      <w:r w:rsidRPr="00E4187D">
        <w:rPr>
          <w:rFonts w:ascii="Palatino Linotype" w:hAnsi="Palatino Linotype"/>
          <w:i/>
          <w:sz w:val="22"/>
        </w:rPr>
        <w:t>common law</w:t>
      </w:r>
      <w:r w:rsidRPr="00E4187D">
        <w:rPr>
          <w:rFonts w:ascii="Palatino Linotype" w:hAnsi="Palatino Linotype"/>
          <w:sz w:val="22"/>
        </w:rPr>
        <w:t xml:space="preserve"> </w:t>
      </w:r>
      <w:r w:rsidR="00E77901">
        <w:rPr>
          <w:rFonts w:ascii="Palatino Linotype" w:hAnsi="Palatino Linotype"/>
          <w:sz w:val="22"/>
        </w:rPr>
        <w:t>possuem</w:t>
      </w:r>
      <w:r w:rsidRPr="00E4187D">
        <w:rPr>
          <w:rFonts w:ascii="Palatino Linotype" w:hAnsi="Palatino Linotype"/>
          <w:sz w:val="22"/>
        </w:rPr>
        <w:t xml:space="preserve"> tendência a ter em sua estrutura de capital uma maior frequência de recursos advindos do mercado de capitais, ou seja, de investidores. Enquanto que em países de características </w:t>
      </w:r>
      <w:r w:rsidRPr="00E4187D">
        <w:rPr>
          <w:rFonts w:ascii="Palatino Linotype" w:hAnsi="Palatino Linotype"/>
          <w:i/>
          <w:sz w:val="22"/>
        </w:rPr>
        <w:t>code law</w:t>
      </w:r>
      <w:r w:rsidRPr="00E4187D">
        <w:rPr>
          <w:rFonts w:ascii="Palatino Linotype" w:hAnsi="Palatino Linotype"/>
          <w:sz w:val="22"/>
        </w:rPr>
        <w:t xml:space="preserve">, as companhias </w:t>
      </w:r>
      <w:r w:rsidR="00E77901">
        <w:rPr>
          <w:rFonts w:ascii="Palatino Linotype" w:hAnsi="Palatino Linotype"/>
          <w:sz w:val="22"/>
        </w:rPr>
        <w:t>possuem</w:t>
      </w:r>
      <w:r w:rsidRPr="00E4187D">
        <w:rPr>
          <w:rFonts w:ascii="Palatino Linotype" w:hAnsi="Palatino Linotype"/>
          <w:sz w:val="22"/>
        </w:rPr>
        <w:t xml:space="preserve"> tendência a possuir em sua estrutura de capital uma maior frequência de recursos originários de bancos públicos e/ou privados.</w:t>
      </w:r>
    </w:p>
    <w:p w14:paraId="3424A1B1" w14:textId="77777777" w:rsidR="00005715" w:rsidRPr="00E4187D" w:rsidRDefault="00005715" w:rsidP="00E4187D">
      <w:pPr>
        <w:rPr>
          <w:rFonts w:ascii="Palatino Linotype" w:hAnsi="Palatino Linotype"/>
          <w:sz w:val="22"/>
        </w:rPr>
      </w:pPr>
      <w:r w:rsidRPr="00E4187D">
        <w:rPr>
          <w:rFonts w:ascii="Palatino Linotype" w:hAnsi="Palatino Linotype"/>
          <w:sz w:val="22"/>
        </w:rPr>
        <w:t>Zysman (1983) discorre sobre três tipos de sistemas de financiamento. O primeiro é baseado em mercado de capitais, onde, quem financia as companhias é o investidor por ações. O segundo sistema financeiro é administrado pelos governos, sobre forma de crédito governamental</w:t>
      </w:r>
      <w:r w:rsidR="00E77901">
        <w:rPr>
          <w:rFonts w:ascii="Palatino Linotype" w:hAnsi="Palatino Linotype"/>
          <w:sz w:val="22"/>
        </w:rPr>
        <w:t>,</w:t>
      </w:r>
      <w:r w:rsidRPr="00E4187D">
        <w:rPr>
          <w:rFonts w:ascii="Palatino Linotype" w:hAnsi="Palatino Linotype"/>
          <w:sz w:val="22"/>
        </w:rPr>
        <w:t xml:space="preserve"> e o terceiro sistema é baseado no crédito das instituições financeiras. Silva (2015) comenta que no caso do Brasil, o país possui um sistema financeiro misto, baseado tanto no sistema financeiro das instituições quanto no sistema governamental.</w:t>
      </w:r>
    </w:p>
    <w:p w14:paraId="3424A1B2" w14:textId="77777777" w:rsidR="00554D09" w:rsidRDefault="00005715" w:rsidP="00E4187D">
      <w:pPr>
        <w:rPr>
          <w:rFonts w:ascii="Palatino Linotype" w:hAnsi="Palatino Linotype"/>
          <w:sz w:val="22"/>
        </w:rPr>
      </w:pPr>
      <w:r w:rsidRPr="00E4187D">
        <w:rPr>
          <w:rFonts w:ascii="Palatino Linotype" w:hAnsi="Palatino Linotype"/>
          <w:sz w:val="22"/>
        </w:rPr>
        <w:t xml:space="preserve">Com a utilização de método similar de análise, porém em períodos, países e com amostras diferentes, os estudos de Singh (1995); Zonenschain (1998); Moreira e Puga (2000) evidenciaram resultados que ora mostraram-se convergentes e ora divergentes quanto à estrutura de financiamento das companhias. </w:t>
      </w:r>
    </w:p>
    <w:p w14:paraId="3424A1B3" w14:textId="77777777" w:rsidR="00E77901" w:rsidRDefault="00005715" w:rsidP="00E4187D">
      <w:pPr>
        <w:rPr>
          <w:rFonts w:ascii="Palatino Linotype" w:hAnsi="Palatino Linotype"/>
          <w:sz w:val="22"/>
        </w:rPr>
      </w:pPr>
      <w:r w:rsidRPr="00E4187D">
        <w:rPr>
          <w:rFonts w:ascii="Palatino Linotype" w:hAnsi="Palatino Linotype"/>
          <w:sz w:val="22"/>
        </w:rPr>
        <w:t>Singh (1995) e Moreira e Puga (2000) por exemplo, sugerem que as empresas brasileiras dependem fortemente da geração de recursos internos para financiar o seu crescimento, o que diverge do estudo de Zonenschain (1998) no período de longo prazo 1989/1996, no qual, evidenciou que as empresas brasileiras possuem uma elevada participação de capital oriunda de emissões de ações.</w:t>
      </w:r>
    </w:p>
    <w:p w14:paraId="3424A1B4" w14:textId="77777777" w:rsidR="00005715" w:rsidRPr="00E4187D" w:rsidRDefault="00E77901" w:rsidP="00E4187D">
      <w:pPr>
        <w:rPr>
          <w:rFonts w:ascii="Palatino Linotype" w:hAnsi="Palatino Linotype"/>
          <w:sz w:val="22"/>
        </w:rPr>
      </w:pPr>
      <w:r>
        <w:rPr>
          <w:rFonts w:ascii="Palatino Linotype" w:hAnsi="Palatino Linotype"/>
          <w:sz w:val="22"/>
        </w:rPr>
        <w:t xml:space="preserve">Sendo assim, tais </w:t>
      </w:r>
      <w:r w:rsidR="00005715" w:rsidRPr="00E4187D">
        <w:rPr>
          <w:rFonts w:ascii="Palatino Linotype" w:hAnsi="Palatino Linotype"/>
          <w:sz w:val="22"/>
        </w:rPr>
        <w:t xml:space="preserve">contradições deixam lacunas abertas ao se pensar à forma de financiamento das companhias, o que ressalta a importância de realizações de novos estudos. </w:t>
      </w:r>
    </w:p>
    <w:p w14:paraId="3424A1B5" w14:textId="77777777" w:rsidR="00005715" w:rsidRPr="00E4187D" w:rsidRDefault="00005715" w:rsidP="00E4187D">
      <w:pPr>
        <w:rPr>
          <w:rFonts w:ascii="Palatino Linotype" w:hAnsi="Palatino Linotype"/>
          <w:sz w:val="22"/>
        </w:rPr>
      </w:pPr>
      <w:r w:rsidRPr="00E4187D">
        <w:rPr>
          <w:rFonts w:ascii="Palatino Linotype" w:hAnsi="Palatino Linotype"/>
          <w:sz w:val="22"/>
        </w:rPr>
        <w:t>Estudos mais recentes como</w:t>
      </w:r>
      <w:r w:rsidR="000521A7">
        <w:rPr>
          <w:rFonts w:ascii="Palatino Linotype" w:hAnsi="Palatino Linotype"/>
          <w:sz w:val="22"/>
        </w:rPr>
        <w:t xml:space="preserve"> o de</w:t>
      </w:r>
      <w:r w:rsidRPr="00E4187D">
        <w:rPr>
          <w:rFonts w:ascii="Palatino Linotype" w:hAnsi="Palatino Linotype"/>
          <w:sz w:val="22"/>
        </w:rPr>
        <w:t xml:space="preserve"> Procianoy e Schnorrenberger (2004), Bastos e Nakamura (2009), Correa, Basso e Nakamura (</w:t>
      </w:r>
      <w:r w:rsidR="00BB6EA0">
        <w:rPr>
          <w:rFonts w:ascii="Palatino Linotype" w:hAnsi="Palatino Linotype"/>
          <w:sz w:val="22"/>
        </w:rPr>
        <w:t xml:space="preserve">2013), Padilha, Michels e Silva </w:t>
      </w:r>
      <w:r w:rsidRPr="00E4187D">
        <w:rPr>
          <w:rFonts w:ascii="Palatino Linotype" w:hAnsi="Palatino Linotype"/>
          <w:sz w:val="22"/>
        </w:rPr>
        <w:t xml:space="preserve">(2015) entre outros, aventuraram-se na discussão relacionada a fatores e determinantes de estrutura de capital das companhias abertas. </w:t>
      </w:r>
      <w:r w:rsidR="00CA6EE4">
        <w:rPr>
          <w:rFonts w:ascii="Palatino Linotype" w:hAnsi="Palatino Linotype"/>
          <w:sz w:val="22"/>
        </w:rPr>
        <w:t>Neste</w:t>
      </w:r>
      <w:r w:rsidRPr="00E4187D">
        <w:rPr>
          <w:rFonts w:ascii="Palatino Linotype" w:hAnsi="Palatino Linotype"/>
          <w:sz w:val="22"/>
        </w:rPr>
        <w:t xml:space="preserve"> raciocínio, Perobelli e Famá (2002) comentam a importância dessa questão para a teoria de finanças, a qual levou ao desenvolvimento de várias proposições que buscavam estabelecer os possíveis fatores indutores da estrutura de capital das empresas. </w:t>
      </w:r>
    </w:p>
    <w:p w14:paraId="3424A1B6" w14:textId="200A7B11"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Albanez e Valle (2009) diversas teorias de finanças tentam explicar o que determina a política de financiamento adotada pelas </w:t>
      </w:r>
      <w:r w:rsidR="000521A7">
        <w:rPr>
          <w:rFonts w:ascii="Palatino Linotype" w:hAnsi="Palatino Linotype"/>
          <w:sz w:val="22"/>
        </w:rPr>
        <w:t>companhias</w:t>
      </w:r>
      <w:r w:rsidRPr="00E4187D">
        <w:rPr>
          <w:rFonts w:ascii="Palatino Linotype" w:hAnsi="Palatino Linotype"/>
          <w:sz w:val="22"/>
        </w:rPr>
        <w:t xml:space="preserve">. Essas teorias sustentam a discussão referente à estrutura e capital e a forma de financiamento </w:t>
      </w:r>
      <w:r w:rsidR="000521A7">
        <w:rPr>
          <w:rFonts w:ascii="Palatino Linotype" w:hAnsi="Palatino Linotype"/>
          <w:sz w:val="22"/>
        </w:rPr>
        <w:t>adotada pelas mesmas</w:t>
      </w:r>
      <w:r w:rsidRPr="00E4187D">
        <w:rPr>
          <w:rFonts w:ascii="Palatino Linotype" w:hAnsi="Palatino Linotype"/>
          <w:sz w:val="22"/>
        </w:rPr>
        <w:t>. Teorias que se inicia</w:t>
      </w:r>
      <w:r w:rsidR="0024452C">
        <w:rPr>
          <w:rFonts w:ascii="Palatino Linotype" w:hAnsi="Palatino Linotype"/>
          <w:sz w:val="22"/>
        </w:rPr>
        <w:t>ra</w:t>
      </w:r>
      <w:r w:rsidRPr="00E4187D">
        <w:rPr>
          <w:rFonts w:ascii="Palatino Linotype" w:hAnsi="Palatino Linotype"/>
          <w:sz w:val="22"/>
        </w:rPr>
        <w:t xml:space="preserve">m com o estudo de Modigliani e Miller (1958) passando por Jensen e Meckling (1976), Mayer (1984) e Mayer e Majluf (1984). Sendo que o presente estudo se sustentou nas teorias de </w:t>
      </w:r>
      <w:r w:rsidRPr="00E4187D">
        <w:rPr>
          <w:rFonts w:ascii="Palatino Linotype" w:hAnsi="Palatino Linotype"/>
          <w:i/>
          <w:sz w:val="22"/>
        </w:rPr>
        <w:t>Pecking Order</w:t>
      </w:r>
      <w:r w:rsidRPr="00E4187D">
        <w:rPr>
          <w:rFonts w:ascii="Palatino Linotype" w:hAnsi="Palatino Linotype"/>
          <w:sz w:val="22"/>
        </w:rPr>
        <w:t xml:space="preserve">, alimentada por uma hierarquia preferencial de fontes de financiamento, e </w:t>
      </w:r>
      <w:r w:rsidRPr="00E4187D">
        <w:rPr>
          <w:rFonts w:ascii="Palatino Linotype" w:hAnsi="Palatino Linotype"/>
          <w:i/>
          <w:sz w:val="22"/>
        </w:rPr>
        <w:t>Trade Off</w:t>
      </w:r>
      <w:r w:rsidRPr="00E4187D">
        <w:rPr>
          <w:rFonts w:ascii="Palatino Linotype" w:hAnsi="Palatino Linotype"/>
          <w:sz w:val="22"/>
        </w:rPr>
        <w:t xml:space="preserve"> </w:t>
      </w:r>
      <w:r w:rsidRPr="00E4187D">
        <w:rPr>
          <w:rFonts w:ascii="Palatino Linotype" w:hAnsi="Palatino Linotype"/>
          <w:i/>
          <w:sz w:val="22"/>
        </w:rPr>
        <w:t>Theory</w:t>
      </w:r>
      <w:r w:rsidRPr="00E4187D">
        <w:rPr>
          <w:rFonts w:ascii="Palatino Linotype" w:hAnsi="Palatino Linotype"/>
          <w:sz w:val="22"/>
        </w:rPr>
        <w:t xml:space="preserve"> no qual se discute a existência de uma estrutura de capital ótima, ambas as teorias de Mayer (1984) e Mayer e Majluf (1984).</w:t>
      </w:r>
    </w:p>
    <w:p w14:paraId="3424A1B7"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Tendo como referência os estudos de Singh (1995), Zoneschain (1998) e Moreira e Puga (2000), no qual fizeram </w:t>
      </w:r>
      <w:r w:rsidR="00CA6EE4">
        <w:rPr>
          <w:rFonts w:ascii="Palatino Linotype" w:hAnsi="Palatino Linotype"/>
          <w:sz w:val="22"/>
        </w:rPr>
        <w:t>uso da metodologia proposta</w:t>
      </w:r>
      <w:r w:rsidRPr="00E4187D">
        <w:rPr>
          <w:rFonts w:ascii="Palatino Linotype" w:hAnsi="Palatino Linotype"/>
          <w:sz w:val="22"/>
        </w:rPr>
        <w:t xml:space="preserve"> por Singh e Hamid (1992), </w:t>
      </w:r>
      <w:r w:rsidRPr="00EE4330">
        <w:rPr>
          <w:rFonts w:ascii="Palatino Linotype" w:hAnsi="Palatino Linotype"/>
          <w:sz w:val="22"/>
        </w:rPr>
        <w:t>questiona-se</w:t>
      </w:r>
      <w:r w:rsidR="00A77246" w:rsidRPr="00EE4330">
        <w:rPr>
          <w:rFonts w:ascii="Palatino Linotype" w:hAnsi="Palatino Linotype"/>
          <w:sz w:val="22"/>
        </w:rPr>
        <w:t xml:space="preserve">: </w:t>
      </w:r>
      <w:r w:rsidR="00CA6EE4" w:rsidRPr="00EE4330">
        <w:rPr>
          <w:rFonts w:ascii="Palatino Linotype" w:hAnsi="Palatino Linotype"/>
          <w:sz w:val="22"/>
        </w:rPr>
        <w:t>houve</w:t>
      </w:r>
      <w:r w:rsidRPr="00EE4330">
        <w:rPr>
          <w:rFonts w:ascii="Palatino Linotype" w:hAnsi="Palatino Linotype"/>
          <w:sz w:val="22"/>
        </w:rPr>
        <w:t xml:space="preserve"> alterações na form</w:t>
      </w:r>
      <w:r w:rsidR="00A77246" w:rsidRPr="00EE4330">
        <w:rPr>
          <w:rFonts w:ascii="Palatino Linotype" w:hAnsi="Palatino Linotype"/>
          <w:sz w:val="22"/>
        </w:rPr>
        <w:t>a de financiamento das companhias brasileiras de capital aberto</w:t>
      </w:r>
      <w:r w:rsidRPr="00EE4330">
        <w:rPr>
          <w:rFonts w:ascii="Palatino Linotype" w:hAnsi="Palatino Linotype"/>
          <w:sz w:val="22"/>
        </w:rPr>
        <w:t xml:space="preserve">? </w:t>
      </w:r>
      <w:r w:rsidRPr="00E4187D">
        <w:rPr>
          <w:rFonts w:ascii="Palatino Linotype" w:hAnsi="Palatino Linotype"/>
          <w:sz w:val="22"/>
        </w:rPr>
        <w:t xml:space="preserve">Dessa forma, esta pesquisa tem por </w:t>
      </w:r>
      <w:r w:rsidRPr="00CA6EE4">
        <w:rPr>
          <w:rFonts w:ascii="Palatino Linotype" w:hAnsi="Palatino Linotype"/>
          <w:sz w:val="22"/>
        </w:rPr>
        <w:t xml:space="preserve">objetivo principal </w:t>
      </w:r>
      <w:r w:rsidR="002B1D3F">
        <w:rPr>
          <w:rFonts w:ascii="Palatino Linotype" w:hAnsi="Palatino Linotype"/>
          <w:sz w:val="22"/>
        </w:rPr>
        <w:t>investigar</w:t>
      </w:r>
      <w:r w:rsidRPr="00CA6EE4">
        <w:rPr>
          <w:rFonts w:ascii="Palatino Linotype" w:hAnsi="Palatino Linotype"/>
          <w:sz w:val="22"/>
        </w:rPr>
        <w:t xml:space="preserve"> </w:t>
      </w:r>
      <w:r w:rsidR="00A85C71">
        <w:rPr>
          <w:rFonts w:ascii="Palatino Linotype" w:hAnsi="Palatino Linotype"/>
          <w:sz w:val="22"/>
        </w:rPr>
        <w:t xml:space="preserve">a forma de </w:t>
      </w:r>
      <w:r w:rsidRPr="00CA6EE4">
        <w:rPr>
          <w:rFonts w:ascii="Palatino Linotype" w:hAnsi="Palatino Linotype"/>
          <w:sz w:val="22"/>
        </w:rPr>
        <w:t xml:space="preserve">financiamento das companhias </w:t>
      </w:r>
      <w:r w:rsidR="00CA6EE4" w:rsidRPr="00CA6EE4">
        <w:rPr>
          <w:rFonts w:ascii="Palatino Linotype" w:hAnsi="Palatino Linotype"/>
          <w:sz w:val="22"/>
        </w:rPr>
        <w:t xml:space="preserve">de capital aberto no Brasil </w:t>
      </w:r>
      <w:r w:rsidRPr="00CA6EE4">
        <w:rPr>
          <w:rFonts w:ascii="Palatino Linotype" w:hAnsi="Palatino Linotype"/>
          <w:sz w:val="22"/>
        </w:rPr>
        <w:t>listadas da Bolsa de Valores</w:t>
      </w:r>
      <w:r w:rsidR="009405A3">
        <w:rPr>
          <w:rFonts w:ascii="Palatino Linotype" w:hAnsi="Palatino Linotype"/>
          <w:sz w:val="22"/>
        </w:rPr>
        <w:t xml:space="preserve">, Mercadorias e Futuros </w:t>
      </w:r>
      <w:r w:rsidR="009405A3" w:rsidRPr="00CA6EE4">
        <w:rPr>
          <w:rFonts w:ascii="Palatino Linotype" w:hAnsi="Palatino Linotype"/>
          <w:sz w:val="22"/>
        </w:rPr>
        <w:t>de</w:t>
      </w:r>
      <w:r w:rsidRPr="00CA6EE4">
        <w:rPr>
          <w:rFonts w:ascii="Palatino Linotype" w:hAnsi="Palatino Linotype"/>
          <w:sz w:val="22"/>
        </w:rPr>
        <w:t xml:space="preserve"> São Paulo (BM&amp;FBovespa), c</w:t>
      </w:r>
      <w:r w:rsidR="00CA6EE4" w:rsidRPr="00CA6EE4">
        <w:rPr>
          <w:rFonts w:ascii="Palatino Linotype" w:hAnsi="Palatino Linotype"/>
          <w:sz w:val="22"/>
        </w:rPr>
        <w:t>ompreendendo o período de 2005 à</w:t>
      </w:r>
      <w:r w:rsidRPr="00CA6EE4">
        <w:rPr>
          <w:rFonts w:ascii="Palatino Linotype" w:hAnsi="Palatino Linotype"/>
          <w:sz w:val="22"/>
        </w:rPr>
        <w:t xml:space="preserve"> 2015. É também objetivo </w:t>
      </w:r>
      <w:r w:rsidR="00B40AAF" w:rsidRPr="00CA6EE4">
        <w:rPr>
          <w:rFonts w:ascii="Palatino Linotype" w:hAnsi="Palatino Linotype"/>
          <w:sz w:val="22"/>
        </w:rPr>
        <w:t xml:space="preserve">complementar </w:t>
      </w:r>
      <w:r w:rsidRPr="00CA6EE4">
        <w:rPr>
          <w:rFonts w:ascii="Palatino Linotype" w:hAnsi="Palatino Linotype"/>
          <w:sz w:val="22"/>
        </w:rPr>
        <w:t xml:space="preserve">deste estudo, realizar uma </w:t>
      </w:r>
      <w:r w:rsidR="002B1D3F">
        <w:rPr>
          <w:rFonts w:ascii="Palatino Linotype" w:hAnsi="Palatino Linotype"/>
          <w:sz w:val="22"/>
        </w:rPr>
        <w:t>análise comparativa</w:t>
      </w:r>
      <w:r w:rsidRPr="00CA6EE4">
        <w:rPr>
          <w:rFonts w:ascii="Palatino Linotype" w:hAnsi="Palatino Linotype"/>
          <w:sz w:val="22"/>
        </w:rPr>
        <w:t xml:space="preserve"> </w:t>
      </w:r>
      <w:r w:rsidRPr="00E4187D">
        <w:rPr>
          <w:rFonts w:ascii="Palatino Linotype" w:hAnsi="Palatino Linotype"/>
          <w:sz w:val="22"/>
        </w:rPr>
        <w:t xml:space="preserve">com </w:t>
      </w:r>
      <w:r w:rsidRPr="00E4187D">
        <w:rPr>
          <w:rFonts w:ascii="Palatino Linotype" w:hAnsi="Palatino Linotype"/>
          <w:sz w:val="22"/>
        </w:rPr>
        <w:lastRenderedPageBreak/>
        <w:t xml:space="preserve">os resultados de estudos anteriores que abordaram a mesma temática e </w:t>
      </w:r>
      <w:r w:rsidR="00660323" w:rsidRPr="00E4187D">
        <w:rPr>
          <w:rFonts w:ascii="Palatino Linotype" w:hAnsi="Palatino Linotype"/>
          <w:sz w:val="22"/>
        </w:rPr>
        <w:t xml:space="preserve">os </w:t>
      </w:r>
      <w:r w:rsidRPr="00E4187D">
        <w:rPr>
          <w:rFonts w:ascii="Palatino Linotype" w:hAnsi="Palatino Linotype"/>
          <w:sz w:val="22"/>
        </w:rPr>
        <w:t xml:space="preserve">mesmos procedimentos metodológicos baseados na </w:t>
      </w:r>
      <w:r w:rsidRPr="00E4187D">
        <w:rPr>
          <w:rFonts w:ascii="Palatino Linotype" w:hAnsi="Palatino Linotype"/>
          <w:i/>
          <w:sz w:val="22"/>
        </w:rPr>
        <w:t xml:space="preserve">Pecking Order Theory </w:t>
      </w:r>
      <w:r w:rsidRPr="00E4187D">
        <w:rPr>
          <w:rFonts w:ascii="Palatino Linotype" w:hAnsi="Palatino Linotype"/>
          <w:sz w:val="22"/>
        </w:rPr>
        <w:t>e na</w:t>
      </w:r>
      <w:r w:rsidRPr="00E4187D">
        <w:rPr>
          <w:rFonts w:ascii="Palatino Linotype" w:hAnsi="Palatino Linotype"/>
          <w:i/>
          <w:sz w:val="22"/>
        </w:rPr>
        <w:t xml:space="preserve"> Trade Off</w:t>
      </w:r>
      <w:r w:rsidRPr="00E4187D">
        <w:rPr>
          <w:rFonts w:ascii="Palatino Linotype" w:hAnsi="Palatino Linotype"/>
          <w:sz w:val="22"/>
        </w:rPr>
        <w:t xml:space="preserve"> </w:t>
      </w:r>
      <w:r w:rsidRPr="00E4187D">
        <w:rPr>
          <w:rFonts w:ascii="Palatino Linotype" w:hAnsi="Palatino Linotype"/>
          <w:i/>
          <w:sz w:val="22"/>
        </w:rPr>
        <w:t>Theory</w:t>
      </w:r>
      <w:r w:rsidRPr="00E4187D">
        <w:rPr>
          <w:rFonts w:ascii="Palatino Linotype" w:hAnsi="Palatino Linotype"/>
          <w:sz w:val="22"/>
        </w:rPr>
        <w:t>.</w:t>
      </w:r>
    </w:p>
    <w:p w14:paraId="3424A1B8"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Dentre os trabalhos citados </w:t>
      </w:r>
      <w:r w:rsidR="00CA6EE4">
        <w:rPr>
          <w:rFonts w:ascii="Palatino Linotype" w:hAnsi="Palatino Linotype"/>
          <w:sz w:val="22"/>
        </w:rPr>
        <w:t>e que</w:t>
      </w:r>
      <w:r w:rsidRPr="00E4187D">
        <w:rPr>
          <w:rFonts w:ascii="Palatino Linotype" w:hAnsi="Palatino Linotype"/>
          <w:sz w:val="22"/>
        </w:rPr>
        <w:t xml:space="preserve"> se assemelham a esta pesquisa encontra-se o de Correa, Basso e Nakamura (2013) que buscou analisar o nível de endividamento das maiores empresas brasileiras, à luz das teorias do </w:t>
      </w:r>
      <w:r w:rsidRPr="00E4187D">
        <w:rPr>
          <w:rFonts w:ascii="Palatino Linotype" w:hAnsi="Palatino Linotype"/>
          <w:i/>
          <w:sz w:val="22"/>
        </w:rPr>
        <w:t xml:space="preserve">Pecking Order </w:t>
      </w:r>
      <w:r w:rsidRPr="00E4187D">
        <w:rPr>
          <w:rFonts w:ascii="Palatino Linotype" w:hAnsi="Palatino Linotype"/>
          <w:sz w:val="22"/>
        </w:rPr>
        <w:t xml:space="preserve">e </w:t>
      </w:r>
      <w:r w:rsidRPr="00E4187D">
        <w:rPr>
          <w:rFonts w:ascii="Palatino Linotype" w:hAnsi="Palatino Linotype"/>
          <w:i/>
          <w:sz w:val="22"/>
        </w:rPr>
        <w:t>Trade Off</w:t>
      </w:r>
      <w:r w:rsidRPr="00E4187D">
        <w:rPr>
          <w:rFonts w:ascii="Palatino Linotype" w:hAnsi="Palatino Linotype"/>
          <w:sz w:val="22"/>
        </w:rPr>
        <w:t xml:space="preserve">. Outro estudo recente é o de Tani e Albanez (2016) no qual teve por objetivo verificar se a teoria do </w:t>
      </w:r>
      <w:r w:rsidRPr="00E4187D">
        <w:rPr>
          <w:rFonts w:ascii="Palatino Linotype" w:hAnsi="Palatino Linotype"/>
          <w:i/>
          <w:sz w:val="22"/>
        </w:rPr>
        <w:t xml:space="preserve">Pecking Order </w:t>
      </w:r>
      <w:r w:rsidRPr="00E4187D">
        <w:rPr>
          <w:rFonts w:ascii="Palatino Linotype" w:hAnsi="Palatino Linotype"/>
          <w:sz w:val="22"/>
        </w:rPr>
        <w:t>se aplica as decisões de financiamento de companhias abertas brasileiras que estão listadas em diferentes segmentos de governança cor</w:t>
      </w:r>
      <w:r w:rsidR="00EE4330">
        <w:rPr>
          <w:rFonts w:ascii="Palatino Linotype" w:hAnsi="Palatino Linotype"/>
          <w:sz w:val="22"/>
        </w:rPr>
        <w:t>porativa da BM&amp;FBovespa, e outro</w:t>
      </w:r>
      <w:r w:rsidRPr="00E4187D">
        <w:rPr>
          <w:rFonts w:ascii="Palatino Linotype" w:hAnsi="Palatino Linotype"/>
          <w:sz w:val="22"/>
        </w:rPr>
        <w:t>s (Medeiros &amp; Daher, 2005; Iquiapaza, Amaral &amp; Araújo, 2008) no qual, relacionaram suas pesquisas às referidas teorias.</w:t>
      </w:r>
    </w:p>
    <w:p w14:paraId="3424A1B9" w14:textId="77777777" w:rsidR="00CA6EE4" w:rsidRDefault="00005715" w:rsidP="00E4187D">
      <w:pPr>
        <w:rPr>
          <w:rFonts w:ascii="Palatino Linotype" w:hAnsi="Palatino Linotype"/>
          <w:sz w:val="22"/>
        </w:rPr>
      </w:pPr>
      <w:r w:rsidRPr="00E4187D">
        <w:rPr>
          <w:rFonts w:ascii="Palatino Linotype" w:hAnsi="Palatino Linotype"/>
          <w:sz w:val="22"/>
        </w:rPr>
        <w:t xml:space="preserve">Além de dar continuidade às pesquisas referentes à estrutura de capital e à forma de financiamento, o presente estudo se diferencia dos anteriores, nos seguintes aspectos: o período (2005 </w:t>
      </w:r>
      <w:r w:rsidR="00E60050">
        <w:rPr>
          <w:rFonts w:ascii="Palatino Linotype" w:hAnsi="Palatino Linotype"/>
          <w:sz w:val="22"/>
        </w:rPr>
        <w:t>a</w:t>
      </w:r>
      <w:r w:rsidRPr="00E4187D">
        <w:rPr>
          <w:rFonts w:ascii="Palatino Linotype" w:hAnsi="Palatino Linotype"/>
          <w:sz w:val="22"/>
        </w:rPr>
        <w:t xml:space="preserve"> 2015) em que a amostra é coletada, a análise trimestral dos dados e a abrangência dos setores (num total de 21) do mercado de capitais brasileiro. </w:t>
      </w:r>
    </w:p>
    <w:p w14:paraId="3424A1BA" w14:textId="77777777" w:rsidR="00005715" w:rsidRPr="00E4187D" w:rsidRDefault="00005715" w:rsidP="00850977">
      <w:pPr>
        <w:shd w:val="clear" w:color="auto" w:fill="FFFFFF" w:themeFill="background1"/>
        <w:rPr>
          <w:rFonts w:ascii="Palatino Linotype" w:hAnsi="Palatino Linotype"/>
          <w:sz w:val="22"/>
        </w:rPr>
      </w:pPr>
      <w:r w:rsidRPr="00850977">
        <w:rPr>
          <w:rFonts w:ascii="Palatino Linotype" w:hAnsi="Palatino Linotype"/>
          <w:sz w:val="22"/>
        </w:rPr>
        <w:t xml:space="preserve">Assim, espera-se contribuir com o mercado das companhias abertas brasileiras no sentido de evidenciar se as mesmas estão optando pelo autofinanciamento, por emissão de dívidas ou por emissões de ações para financiar seu crescimento. Acredita-se que tal resultado também será útil para os investidores em conhecer a forma de financiamento das empresas, assim como para a academia poder relacionar e entender as teorias </w:t>
      </w:r>
      <w:r w:rsidRPr="00850977">
        <w:rPr>
          <w:rFonts w:ascii="Palatino Linotype" w:hAnsi="Palatino Linotype"/>
          <w:i/>
          <w:sz w:val="22"/>
        </w:rPr>
        <w:t xml:space="preserve">Pecking Order </w:t>
      </w:r>
      <w:r w:rsidRPr="00850977">
        <w:rPr>
          <w:rFonts w:ascii="Palatino Linotype" w:hAnsi="Palatino Linotype"/>
          <w:sz w:val="22"/>
        </w:rPr>
        <w:t>e</w:t>
      </w:r>
      <w:r w:rsidRPr="00850977">
        <w:rPr>
          <w:rFonts w:ascii="Palatino Linotype" w:hAnsi="Palatino Linotype"/>
          <w:i/>
          <w:sz w:val="22"/>
        </w:rPr>
        <w:t xml:space="preserve"> Trade Off</w:t>
      </w:r>
      <w:r w:rsidRPr="00850977">
        <w:rPr>
          <w:rFonts w:ascii="Palatino Linotype" w:hAnsi="Palatino Linotype"/>
          <w:sz w:val="22"/>
        </w:rPr>
        <w:t xml:space="preserve"> </w:t>
      </w:r>
      <w:r w:rsidRPr="00850977">
        <w:rPr>
          <w:rFonts w:ascii="Palatino Linotype" w:hAnsi="Palatino Linotype"/>
          <w:i/>
          <w:sz w:val="22"/>
        </w:rPr>
        <w:t xml:space="preserve">Theory </w:t>
      </w:r>
      <w:r w:rsidRPr="00850977">
        <w:rPr>
          <w:rFonts w:ascii="Palatino Linotype" w:hAnsi="Palatino Linotype"/>
          <w:sz w:val="22"/>
        </w:rPr>
        <w:t>no contexto das companhias brasileiras.</w:t>
      </w:r>
    </w:p>
    <w:p w14:paraId="3424A1BB" w14:textId="77777777" w:rsidR="00005715" w:rsidRPr="00E4187D" w:rsidRDefault="00005715" w:rsidP="00E4187D">
      <w:pPr>
        <w:rPr>
          <w:rFonts w:ascii="Palatino Linotype" w:hAnsi="Palatino Linotype"/>
          <w:sz w:val="22"/>
        </w:rPr>
      </w:pPr>
      <w:r w:rsidRPr="006463C0">
        <w:rPr>
          <w:rFonts w:ascii="Palatino Linotype" w:hAnsi="Palatino Linotype"/>
          <w:sz w:val="22"/>
        </w:rPr>
        <w:t xml:space="preserve">Este estudo também se justifica devido às divergências encontradas em estudos anteriores, constatando </w:t>
      </w:r>
      <w:r w:rsidR="006463C0" w:rsidRPr="006463C0">
        <w:rPr>
          <w:rFonts w:ascii="Palatino Linotype" w:hAnsi="Palatino Linotype"/>
          <w:sz w:val="22"/>
        </w:rPr>
        <w:t xml:space="preserve">a necessidade de novas pesquisas </w:t>
      </w:r>
      <w:r w:rsidRPr="006463C0">
        <w:rPr>
          <w:rFonts w:ascii="Palatino Linotype" w:hAnsi="Palatino Linotype"/>
          <w:sz w:val="22"/>
        </w:rPr>
        <w:t>para a temática abordada. Logo, torna-se relevante para a contribuição da área em questão.</w:t>
      </w:r>
    </w:p>
    <w:p w14:paraId="3424A1BC" w14:textId="77777777" w:rsidR="00005715" w:rsidRPr="00E4187D" w:rsidRDefault="00005715" w:rsidP="00E4187D">
      <w:pPr>
        <w:rPr>
          <w:rFonts w:ascii="Palatino Linotype" w:hAnsi="Palatino Linotype"/>
          <w:sz w:val="22"/>
        </w:rPr>
      </w:pPr>
      <w:r w:rsidRPr="00E4187D">
        <w:rPr>
          <w:rFonts w:ascii="Palatino Linotype" w:hAnsi="Palatino Linotype"/>
          <w:sz w:val="22"/>
        </w:rPr>
        <w:t>O restante da pesquisa está estruturado na seguinte maneira. Na seção 2 são apresentadas revisões sobre temas que embasaram o estudo como: características institucionais brasileiras, mercado de capitais e teorias de finanças. Na seção 3 é apresentada a definição da amostra, e os procedimentos metodológicos utilizados, a seção 4 descreve os resultados obtidos, seguidos da seção 5 e 6 com as conclusões e referencias, respectivamente.</w:t>
      </w:r>
    </w:p>
    <w:p w14:paraId="3424A1BD" w14:textId="77777777" w:rsidR="00005715" w:rsidRPr="00E4187D" w:rsidRDefault="00005715" w:rsidP="00E4187D">
      <w:pPr>
        <w:pStyle w:val="PargrafodaLista"/>
        <w:ind w:firstLine="709"/>
        <w:rPr>
          <w:rFonts w:ascii="Palatino Linotype" w:hAnsi="Palatino Linotype"/>
          <w:b/>
          <w:sz w:val="22"/>
          <w:szCs w:val="22"/>
        </w:rPr>
      </w:pPr>
    </w:p>
    <w:p w14:paraId="3424A1BE" w14:textId="77777777" w:rsidR="00005715" w:rsidRPr="00183F9E" w:rsidRDefault="00183F9E" w:rsidP="00183F9E">
      <w:pPr>
        <w:ind w:firstLine="0"/>
        <w:rPr>
          <w:rFonts w:ascii="Palatino Linotype" w:hAnsi="Palatino Linotype"/>
          <w:b/>
          <w:sz w:val="22"/>
        </w:rPr>
      </w:pPr>
      <w:r>
        <w:rPr>
          <w:rFonts w:ascii="Palatino Linotype" w:hAnsi="Palatino Linotype"/>
          <w:b/>
          <w:sz w:val="22"/>
        </w:rPr>
        <w:t xml:space="preserve">2 </w:t>
      </w:r>
      <w:r w:rsidR="00005715" w:rsidRPr="00183F9E">
        <w:rPr>
          <w:rFonts w:ascii="Palatino Linotype" w:hAnsi="Palatino Linotype"/>
          <w:b/>
          <w:sz w:val="22"/>
        </w:rPr>
        <w:t>REVISÃO DE LITERATURA</w:t>
      </w:r>
    </w:p>
    <w:p w14:paraId="3424A1BF" w14:textId="77777777" w:rsidR="00005715" w:rsidRPr="00E4187D" w:rsidRDefault="00005715" w:rsidP="00E4187D">
      <w:pPr>
        <w:pStyle w:val="PargrafodaLista"/>
        <w:ind w:left="0" w:firstLine="709"/>
        <w:rPr>
          <w:rFonts w:ascii="Palatino Linotype" w:hAnsi="Palatino Linotype"/>
          <w:sz w:val="22"/>
          <w:szCs w:val="22"/>
        </w:rPr>
      </w:pPr>
      <w:r w:rsidRPr="00E4187D">
        <w:rPr>
          <w:rFonts w:ascii="Palatino Linotype" w:hAnsi="Palatino Linotype"/>
          <w:sz w:val="22"/>
          <w:szCs w:val="22"/>
        </w:rPr>
        <w:t xml:space="preserve">Nesta seção são tratadas as características institucionais brasileiras, como sistema legal, sistema financeiro e contábil, e as teorias de finanças seminais, finalizando pela abordagem das teorias </w:t>
      </w:r>
      <w:r w:rsidRPr="00E4187D">
        <w:rPr>
          <w:rFonts w:ascii="Palatino Linotype" w:hAnsi="Palatino Linotype"/>
          <w:i/>
          <w:sz w:val="22"/>
          <w:szCs w:val="22"/>
        </w:rPr>
        <w:t xml:space="preserve">Pecking Order </w:t>
      </w:r>
      <w:r w:rsidRPr="00E4187D">
        <w:rPr>
          <w:rFonts w:ascii="Palatino Linotype" w:hAnsi="Palatino Linotype"/>
          <w:sz w:val="22"/>
          <w:szCs w:val="22"/>
        </w:rPr>
        <w:t>e</w:t>
      </w:r>
      <w:r w:rsidRPr="00E4187D">
        <w:rPr>
          <w:rFonts w:ascii="Palatino Linotype" w:hAnsi="Palatino Linotype"/>
          <w:i/>
          <w:sz w:val="22"/>
          <w:szCs w:val="22"/>
        </w:rPr>
        <w:t xml:space="preserve"> Trade Off</w:t>
      </w:r>
      <w:r w:rsidRPr="00E4187D">
        <w:rPr>
          <w:rFonts w:ascii="Palatino Linotype" w:hAnsi="Palatino Linotype"/>
          <w:sz w:val="22"/>
          <w:szCs w:val="22"/>
        </w:rPr>
        <w:t xml:space="preserve"> propostas por Myers (1984) e Myers e Majluf (1984).</w:t>
      </w:r>
    </w:p>
    <w:p w14:paraId="3424A1C0" w14:textId="77777777" w:rsidR="00005715" w:rsidRPr="00E4187D" w:rsidRDefault="00005715" w:rsidP="00E4187D">
      <w:pPr>
        <w:pStyle w:val="PargrafodaLista"/>
        <w:ind w:left="0" w:firstLine="709"/>
        <w:rPr>
          <w:rFonts w:ascii="Palatino Linotype" w:hAnsi="Palatino Linotype"/>
          <w:b/>
          <w:sz w:val="22"/>
          <w:szCs w:val="22"/>
        </w:rPr>
      </w:pPr>
    </w:p>
    <w:p w14:paraId="3424A1C1" w14:textId="77777777" w:rsidR="00005715" w:rsidRPr="00183F9E" w:rsidRDefault="00005715" w:rsidP="00183F9E">
      <w:pPr>
        <w:pStyle w:val="PargrafodaLista"/>
        <w:numPr>
          <w:ilvl w:val="1"/>
          <w:numId w:val="22"/>
        </w:numPr>
        <w:rPr>
          <w:rFonts w:ascii="Palatino Linotype" w:hAnsi="Palatino Linotype"/>
          <w:b/>
          <w:sz w:val="22"/>
        </w:rPr>
      </w:pPr>
      <w:r w:rsidRPr="00183F9E">
        <w:rPr>
          <w:rFonts w:ascii="Palatino Linotype" w:hAnsi="Palatino Linotype"/>
          <w:b/>
          <w:sz w:val="22"/>
        </w:rPr>
        <w:t>Características Institucionais Brasileiras</w:t>
      </w:r>
    </w:p>
    <w:p w14:paraId="3424A1C2" w14:textId="77777777" w:rsidR="00005715" w:rsidRPr="00E4187D" w:rsidRDefault="00005715" w:rsidP="00E4187D">
      <w:pPr>
        <w:rPr>
          <w:rFonts w:ascii="Palatino Linotype" w:hAnsi="Palatino Linotype"/>
          <w:sz w:val="22"/>
        </w:rPr>
      </w:pPr>
      <w:r w:rsidRPr="00E4187D">
        <w:rPr>
          <w:rFonts w:ascii="Palatino Linotype" w:hAnsi="Palatino Linotype"/>
          <w:sz w:val="22"/>
        </w:rPr>
        <w:t>As características institucionais como o sistema legal, sistema financeiro e sistema contábil, são fatores determinantes para se compreender a estrutura de capital e a forma de financiamento das companhias de determinado país.</w:t>
      </w:r>
    </w:p>
    <w:p w14:paraId="3424A1C3"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Silva (2015) discorre que, no caso específico do Brasil, o país sofre forte influência das características do mercado de crédito e de instituições financeiras, assim como das características do modelo legal </w:t>
      </w:r>
      <w:r w:rsidRPr="00E4187D">
        <w:rPr>
          <w:rFonts w:ascii="Palatino Linotype" w:hAnsi="Palatino Linotype"/>
          <w:i/>
          <w:sz w:val="22"/>
        </w:rPr>
        <w:t>Code law.</w:t>
      </w:r>
    </w:p>
    <w:p w14:paraId="3424A1C4" w14:textId="77777777" w:rsidR="00005715" w:rsidRPr="00E4187D" w:rsidRDefault="00005715" w:rsidP="00E4187D">
      <w:pPr>
        <w:rPr>
          <w:rFonts w:ascii="Palatino Linotype" w:hAnsi="Palatino Linotype"/>
          <w:sz w:val="22"/>
        </w:rPr>
      </w:pPr>
      <w:r w:rsidRPr="00E4187D">
        <w:rPr>
          <w:rFonts w:ascii="Palatino Linotype" w:hAnsi="Palatino Linotype"/>
          <w:sz w:val="22"/>
        </w:rPr>
        <w:t>Partindo pela classificação do sistema legal, são identificados países com tradição do direito consuetudinário (</w:t>
      </w:r>
      <w:r w:rsidRPr="00183F9E">
        <w:rPr>
          <w:rFonts w:ascii="Palatino Linotype" w:hAnsi="Palatino Linotype"/>
          <w:i/>
          <w:sz w:val="22"/>
        </w:rPr>
        <w:t>common law</w:t>
      </w:r>
      <w:r w:rsidRPr="00E4187D">
        <w:rPr>
          <w:rFonts w:ascii="Palatino Linotype" w:hAnsi="Palatino Linotype"/>
          <w:sz w:val="22"/>
        </w:rPr>
        <w:t>), e países com tradição do direito romano (</w:t>
      </w:r>
      <w:r w:rsidRPr="00183F9E">
        <w:rPr>
          <w:rFonts w:ascii="Palatino Linotype" w:hAnsi="Palatino Linotype"/>
          <w:i/>
          <w:sz w:val="22"/>
        </w:rPr>
        <w:t>Code law</w:t>
      </w:r>
      <w:r w:rsidRPr="00E4187D">
        <w:rPr>
          <w:rFonts w:ascii="Palatino Linotype" w:hAnsi="Palatino Linotype"/>
          <w:sz w:val="22"/>
        </w:rPr>
        <w:t xml:space="preserve">). No sistema </w:t>
      </w:r>
      <w:r w:rsidRPr="00183F9E">
        <w:rPr>
          <w:rFonts w:ascii="Palatino Linotype" w:hAnsi="Palatino Linotype"/>
          <w:i/>
          <w:sz w:val="22"/>
        </w:rPr>
        <w:t>Common law</w:t>
      </w:r>
      <w:r w:rsidRPr="00E4187D">
        <w:rPr>
          <w:rFonts w:ascii="Palatino Linotype" w:hAnsi="Palatino Linotype"/>
          <w:sz w:val="22"/>
        </w:rPr>
        <w:t xml:space="preserve">, as práticas contábeis são determinadas principalmente pelo setor privado (Ball, Kothari &amp; Robin, 2000). Dentre os países caracterizados por esse sistema, </w:t>
      </w:r>
      <w:r w:rsidRPr="00E4187D">
        <w:rPr>
          <w:rFonts w:ascii="Palatino Linotype" w:hAnsi="Palatino Linotype"/>
          <w:sz w:val="22"/>
        </w:rPr>
        <w:lastRenderedPageBreak/>
        <w:t xml:space="preserve">encontra-se: Austrália, Canadá, Reino Unido e Estados Unidos da América (EUA). </w:t>
      </w:r>
      <w:r w:rsidR="00917A09" w:rsidRPr="00E4187D">
        <w:rPr>
          <w:rFonts w:ascii="Palatino Linotype" w:hAnsi="Palatino Linotype"/>
          <w:sz w:val="22"/>
        </w:rPr>
        <w:t xml:space="preserve">De acordo com </w:t>
      </w:r>
      <w:r w:rsidRPr="00E4187D">
        <w:rPr>
          <w:rFonts w:ascii="Palatino Linotype" w:hAnsi="Palatino Linotype"/>
          <w:sz w:val="22"/>
        </w:rPr>
        <w:t>Costa, Lopes e</w:t>
      </w:r>
      <w:r w:rsidR="00183F9E" w:rsidRPr="00E4187D">
        <w:rPr>
          <w:rFonts w:ascii="Palatino Linotype" w:hAnsi="Palatino Linotype"/>
          <w:sz w:val="22"/>
        </w:rPr>
        <w:t xml:space="preserve"> </w:t>
      </w:r>
      <w:r w:rsidRPr="00E4187D">
        <w:rPr>
          <w:rFonts w:ascii="Palatino Linotype" w:hAnsi="Palatino Linotype"/>
          <w:sz w:val="22"/>
        </w:rPr>
        <w:t xml:space="preserve">Costa (2006), essa estrutura é menos regulamentada que as </w:t>
      </w:r>
      <w:r w:rsidRPr="00183F9E">
        <w:rPr>
          <w:rFonts w:ascii="Palatino Linotype" w:hAnsi="Palatino Linotype"/>
          <w:i/>
          <w:sz w:val="22"/>
        </w:rPr>
        <w:t>Code law</w:t>
      </w:r>
      <w:r w:rsidRPr="00E4187D">
        <w:rPr>
          <w:rFonts w:ascii="Palatino Linotype" w:hAnsi="Palatino Linotype"/>
          <w:sz w:val="22"/>
        </w:rPr>
        <w:t xml:space="preserve">, e possui um mercado de capitais bem desenvolvido. </w:t>
      </w:r>
    </w:p>
    <w:p w14:paraId="3424A1C5" w14:textId="77777777" w:rsidR="00183F9E" w:rsidRDefault="00005715" w:rsidP="00E4187D">
      <w:pPr>
        <w:rPr>
          <w:rFonts w:ascii="Palatino Linotype" w:hAnsi="Palatino Linotype"/>
          <w:sz w:val="22"/>
        </w:rPr>
      </w:pPr>
      <w:r w:rsidRPr="00E4187D">
        <w:rPr>
          <w:rFonts w:ascii="Palatino Linotype" w:hAnsi="Palatino Linotype"/>
          <w:sz w:val="22"/>
        </w:rPr>
        <w:t xml:space="preserve"> No sistema </w:t>
      </w:r>
      <w:r w:rsidRPr="00183F9E">
        <w:rPr>
          <w:rFonts w:ascii="Palatino Linotype" w:hAnsi="Palatino Linotype"/>
          <w:i/>
          <w:sz w:val="22"/>
        </w:rPr>
        <w:t>Code Law</w:t>
      </w:r>
      <w:r w:rsidRPr="00E4187D">
        <w:rPr>
          <w:rFonts w:ascii="Palatino Linotype" w:hAnsi="Palatino Linotype"/>
          <w:sz w:val="22"/>
        </w:rPr>
        <w:t xml:space="preserve">, observa-se forte influência do governo na economia, a qual é norteada por um elevado grau de detalhamento de regras contábeis. Outras características comuns num contexto </w:t>
      </w:r>
      <w:r w:rsidRPr="00183F9E">
        <w:rPr>
          <w:rFonts w:ascii="Palatino Linotype" w:hAnsi="Palatino Linotype"/>
          <w:i/>
          <w:sz w:val="22"/>
        </w:rPr>
        <w:t>Code Law</w:t>
      </w:r>
      <w:r w:rsidRPr="00E4187D">
        <w:rPr>
          <w:rFonts w:ascii="Palatino Linotype" w:hAnsi="Palatino Linotype"/>
          <w:sz w:val="22"/>
        </w:rPr>
        <w:t xml:space="preserve"> são</w:t>
      </w:r>
      <w:r w:rsidR="00183F9E">
        <w:rPr>
          <w:rFonts w:ascii="Palatino Linotype" w:hAnsi="Palatino Linotype"/>
          <w:sz w:val="22"/>
        </w:rPr>
        <w:t>:</w:t>
      </w:r>
      <w:r w:rsidRPr="00E4187D">
        <w:rPr>
          <w:rFonts w:ascii="Palatino Linotype" w:hAnsi="Palatino Linotype"/>
          <w:sz w:val="22"/>
        </w:rPr>
        <w:t xml:space="preserve"> a concentração de poder na mão de poucos acionistas, a contabilidade se confunde com a área tributária e há menor demanda por informações públicas (Costa, Lopes &amp; Costa, 2006). </w:t>
      </w:r>
    </w:p>
    <w:p w14:paraId="3424A1C6"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Nesse sistema, além do Brasil, encontram-se também países como Alemanha, França e Japão. Lopes e Walker (2008) comentam que o Brasil é um típico país em desenvolvimento, onde as demonstrações financeiras não estão preparadas para informar os investidores, mas, para cumprir as exigências fiscais e outras exigências regulatórias. </w:t>
      </w:r>
    </w:p>
    <w:p w14:paraId="3424A1C7" w14:textId="77777777" w:rsidR="00BD29CD" w:rsidRPr="00850977" w:rsidRDefault="00005715" w:rsidP="00E4187D">
      <w:pPr>
        <w:rPr>
          <w:rFonts w:ascii="Palatino Linotype" w:hAnsi="Palatino Linotype"/>
          <w:sz w:val="22"/>
        </w:rPr>
      </w:pPr>
      <w:r w:rsidRPr="00E4187D">
        <w:rPr>
          <w:rFonts w:ascii="Palatino Linotype" w:hAnsi="Palatino Linotype"/>
          <w:sz w:val="22"/>
        </w:rPr>
        <w:t xml:space="preserve">Em relação ao sistema financeiro, Zysman (1983) identifica três tipos de sistemas. O primeiro se baseia em mercado de capitais, onde quem financia as companhias é o investidor por ações, este sistema é característica de países como EUA e Reino Unido. Albuquerque e Sicsú (2000) exemplificam que nesses países, é privilegiado o canal do financiamento direto via emissão de papéis </w:t>
      </w:r>
      <w:r w:rsidRPr="00850977">
        <w:rPr>
          <w:rFonts w:ascii="Palatino Linotype" w:hAnsi="Palatino Linotype"/>
          <w:sz w:val="22"/>
        </w:rPr>
        <w:t>(ações, debêntures, etc.) pela investidora</w:t>
      </w:r>
      <w:r w:rsidR="00183F9E" w:rsidRPr="00850977">
        <w:rPr>
          <w:rFonts w:ascii="Palatino Linotype" w:hAnsi="Palatino Linotype"/>
          <w:sz w:val="22"/>
        </w:rPr>
        <w:t>,</w:t>
      </w:r>
      <w:r w:rsidRPr="00850977">
        <w:rPr>
          <w:rFonts w:ascii="Palatino Linotype" w:hAnsi="Palatino Linotype"/>
          <w:sz w:val="22"/>
        </w:rPr>
        <w:t xml:space="preserve"> que busca captar os recursos do público poupador. </w:t>
      </w:r>
    </w:p>
    <w:p w14:paraId="3424A1C8" w14:textId="77777777" w:rsidR="00F46AB3" w:rsidRPr="00850977" w:rsidRDefault="00005715" w:rsidP="00E4187D">
      <w:pPr>
        <w:rPr>
          <w:rFonts w:ascii="Palatino Linotype" w:hAnsi="Palatino Linotype"/>
          <w:sz w:val="22"/>
        </w:rPr>
      </w:pPr>
      <w:r w:rsidRPr="00850977">
        <w:rPr>
          <w:rFonts w:ascii="Palatino Linotype" w:hAnsi="Palatino Linotype"/>
          <w:sz w:val="22"/>
        </w:rPr>
        <w:t xml:space="preserve"> O segundo sistema financeiro é administrado pelos governos, sobre forma de crédito governamental, entre os países </w:t>
      </w:r>
      <w:r w:rsidR="00BD29CD" w:rsidRPr="00850977">
        <w:rPr>
          <w:rFonts w:ascii="Palatino Linotype" w:hAnsi="Palatino Linotype"/>
          <w:sz w:val="22"/>
        </w:rPr>
        <w:t>com esta característica está o</w:t>
      </w:r>
      <w:r w:rsidR="00F46AB3" w:rsidRPr="00850977">
        <w:rPr>
          <w:rFonts w:ascii="Palatino Linotype" w:hAnsi="Palatino Linotype"/>
          <w:sz w:val="22"/>
        </w:rPr>
        <w:t xml:space="preserve"> Japão e França.</w:t>
      </w:r>
      <w:r w:rsidRPr="00850977">
        <w:rPr>
          <w:rFonts w:ascii="Palatino Linotype" w:hAnsi="Palatino Linotype"/>
          <w:sz w:val="22"/>
        </w:rPr>
        <w:t xml:space="preserve"> </w:t>
      </w:r>
      <w:r w:rsidR="00F46AB3" w:rsidRPr="00850977">
        <w:rPr>
          <w:rFonts w:ascii="Palatino Linotype" w:hAnsi="Palatino Linotype"/>
          <w:sz w:val="22"/>
        </w:rPr>
        <w:t>Por</w:t>
      </w:r>
      <w:r w:rsidRPr="00850977">
        <w:rPr>
          <w:rFonts w:ascii="Palatino Linotype" w:hAnsi="Palatino Linotype"/>
          <w:sz w:val="22"/>
        </w:rPr>
        <w:t xml:space="preserve"> fim, o terceiro sistema é baseado no crédito das instituições financeiras, dentre os países característicos está a Alemanha e Brasil.</w:t>
      </w:r>
    </w:p>
    <w:p w14:paraId="3424A1C9" w14:textId="77777777" w:rsidR="00005715" w:rsidRPr="00850977" w:rsidRDefault="00005715" w:rsidP="00E4187D">
      <w:pPr>
        <w:rPr>
          <w:rFonts w:ascii="Palatino Linotype" w:hAnsi="Palatino Linotype"/>
          <w:sz w:val="22"/>
        </w:rPr>
      </w:pPr>
      <w:r w:rsidRPr="00850977">
        <w:rPr>
          <w:rFonts w:ascii="Palatino Linotype" w:hAnsi="Palatino Linotype"/>
          <w:sz w:val="22"/>
        </w:rPr>
        <w:t xml:space="preserve"> </w:t>
      </w:r>
      <w:r w:rsidR="00F46AB3" w:rsidRPr="00850977">
        <w:rPr>
          <w:rFonts w:ascii="Palatino Linotype" w:hAnsi="Palatino Linotype"/>
          <w:sz w:val="22"/>
        </w:rPr>
        <w:t xml:space="preserve">Neste </w:t>
      </w:r>
      <w:r w:rsidR="006463C0" w:rsidRPr="00850977">
        <w:rPr>
          <w:rFonts w:ascii="Palatino Linotype" w:hAnsi="Palatino Linotype"/>
          <w:sz w:val="22"/>
        </w:rPr>
        <w:t>contexto, Silva</w:t>
      </w:r>
      <w:r w:rsidRPr="00850977">
        <w:rPr>
          <w:rFonts w:ascii="Palatino Linotype" w:hAnsi="Palatino Linotype"/>
          <w:sz w:val="22"/>
        </w:rPr>
        <w:t xml:space="preserve"> (2015) ressalta que no caso do Brasil, a criação de bancos como Banco Nacional de Desenvolvimento (BNDES), Caixa Econômica Federal, Banco do Brasil, dentre outros, faz com que se pense que o país possui um sistema financeiro misto, baseado tanto no sistema financeiro das instituições, quanto no sistema governamental.</w:t>
      </w:r>
      <w:r w:rsidR="00685375" w:rsidRPr="00850977">
        <w:rPr>
          <w:rFonts w:ascii="Palatino Linotype" w:hAnsi="Palatino Linotype"/>
          <w:sz w:val="22"/>
        </w:rPr>
        <w:t xml:space="preserve"> Sendo assim, se observa certa dificuldade em </w:t>
      </w:r>
      <w:r w:rsidR="00F46AB3" w:rsidRPr="00850977">
        <w:rPr>
          <w:rFonts w:ascii="Palatino Linotype" w:hAnsi="Palatino Linotype"/>
          <w:sz w:val="22"/>
        </w:rPr>
        <w:t>enquadrar</w:t>
      </w:r>
      <w:r w:rsidR="00685375" w:rsidRPr="00850977">
        <w:rPr>
          <w:rFonts w:ascii="Palatino Linotype" w:hAnsi="Palatino Linotype"/>
          <w:sz w:val="22"/>
        </w:rPr>
        <w:t xml:space="preserve"> o Brasil, exclusivamente em um dos sistemas financeiros indicados por Zysman (1983).</w:t>
      </w:r>
    </w:p>
    <w:p w14:paraId="3424A1CA" w14:textId="77777777" w:rsidR="00005715" w:rsidRPr="00850977" w:rsidRDefault="00005715" w:rsidP="00E4187D">
      <w:pPr>
        <w:rPr>
          <w:rFonts w:ascii="Palatino Linotype" w:hAnsi="Palatino Linotype"/>
          <w:sz w:val="22"/>
        </w:rPr>
      </w:pPr>
      <w:r w:rsidRPr="00850977">
        <w:rPr>
          <w:rFonts w:ascii="Palatino Linotype" w:hAnsi="Palatino Linotype"/>
          <w:sz w:val="22"/>
        </w:rPr>
        <w:t>Albuquerque e Sicsú (2000) comentam que isso ocorre no Brasil porque o mercado de capitais e, especificamente o mercado de ações é pouco desenvolvido, assim como não existe uma vocação do sistema financeiro brasileiro para se transformar em um sistema de crédito em qualquer das versões destacadas na classificação de Zysman (1983).</w:t>
      </w:r>
    </w:p>
    <w:p w14:paraId="3424A1C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Na classificação do sistema contábil financeiro de um país, foi desenvolvido por Nobes (1998) um modelo baseado ao nível de </w:t>
      </w:r>
      <w:r w:rsidRPr="00F46AB3">
        <w:rPr>
          <w:rFonts w:ascii="Palatino Linotype" w:hAnsi="Palatino Linotype"/>
          <w:i/>
          <w:sz w:val="22"/>
        </w:rPr>
        <w:t>outsider equity</w:t>
      </w:r>
      <w:r w:rsidRPr="00E4187D">
        <w:rPr>
          <w:rFonts w:ascii="Palatino Linotype" w:hAnsi="Palatino Linotype"/>
          <w:sz w:val="22"/>
        </w:rPr>
        <w:t xml:space="preserve">. Conforme Silva (2015) </w:t>
      </w:r>
      <w:r w:rsidRPr="00F46AB3">
        <w:rPr>
          <w:rFonts w:ascii="Palatino Linotype" w:hAnsi="Palatino Linotype"/>
          <w:i/>
          <w:sz w:val="22"/>
        </w:rPr>
        <w:t>outsider equity</w:t>
      </w:r>
      <w:r w:rsidRPr="00E4187D">
        <w:rPr>
          <w:rFonts w:ascii="Palatino Linotype" w:hAnsi="Palatino Linotype"/>
          <w:sz w:val="22"/>
        </w:rPr>
        <w:t xml:space="preserve"> está relacionado com as características do sistema financeiro das companhias, as quais, segundo o autor, podem ter uma forte ou ampla participação de investidores no capital da empresa ou, ao contrário, uma fraca e restrita participação de investidores.</w:t>
      </w:r>
    </w:p>
    <w:p w14:paraId="3424A1CC" w14:textId="77777777" w:rsidR="00005715" w:rsidRDefault="00005715" w:rsidP="00E4187D">
      <w:pPr>
        <w:rPr>
          <w:rFonts w:ascii="Palatino Linotype" w:hAnsi="Palatino Linotype"/>
          <w:sz w:val="22"/>
        </w:rPr>
      </w:pPr>
      <w:r w:rsidRPr="00E4187D">
        <w:rPr>
          <w:rFonts w:ascii="Palatino Linotype" w:hAnsi="Palatino Linotype"/>
          <w:sz w:val="22"/>
        </w:rPr>
        <w:t xml:space="preserve">No modelo desenvolvido por Nobes (1998) é realizado uma classificação de países embasados conforme as características das companhias. </w:t>
      </w:r>
    </w:p>
    <w:p w14:paraId="59D2BA88" w14:textId="77777777" w:rsidR="00503154" w:rsidRDefault="00503154" w:rsidP="00E4187D">
      <w:pPr>
        <w:pStyle w:val="Legenda"/>
        <w:keepNext/>
        <w:ind w:firstLine="709"/>
        <w:jc w:val="center"/>
        <w:rPr>
          <w:rFonts w:ascii="Palatino Linotype" w:hAnsi="Palatino Linotype"/>
          <w:sz w:val="18"/>
          <w:szCs w:val="18"/>
        </w:rPr>
      </w:pPr>
    </w:p>
    <w:p w14:paraId="3424A1CE" w14:textId="38135C8F" w:rsidR="00005715" w:rsidRPr="00F46AB3" w:rsidRDefault="00005715" w:rsidP="00E4187D">
      <w:pPr>
        <w:pStyle w:val="Legenda"/>
        <w:keepNext/>
        <w:ind w:firstLine="709"/>
        <w:jc w:val="center"/>
        <w:rPr>
          <w:rFonts w:ascii="Palatino Linotype" w:hAnsi="Palatino Linotype"/>
          <w:b w:val="0"/>
          <w:sz w:val="18"/>
          <w:szCs w:val="18"/>
        </w:rPr>
      </w:pPr>
      <w:r w:rsidRPr="00F46AB3">
        <w:rPr>
          <w:rFonts w:ascii="Palatino Linotype" w:hAnsi="Palatino Linotype"/>
          <w:sz w:val="18"/>
          <w:szCs w:val="18"/>
        </w:rPr>
        <w:t xml:space="preserve">Tabela </w:t>
      </w:r>
      <w:r w:rsidRPr="00F46AB3">
        <w:rPr>
          <w:rFonts w:ascii="Palatino Linotype" w:hAnsi="Palatino Linotype"/>
          <w:sz w:val="18"/>
          <w:szCs w:val="18"/>
        </w:rPr>
        <w:fldChar w:fldCharType="begin"/>
      </w:r>
      <w:r w:rsidRPr="00F46AB3">
        <w:rPr>
          <w:rFonts w:ascii="Palatino Linotype" w:hAnsi="Palatino Linotype"/>
          <w:sz w:val="18"/>
          <w:szCs w:val="18"/>
        </w:rPr>
        <w:instrText xml:space="preserve"> SEQ Tabela \* ARABIC </w:instrText>
      </w:r>
      <w:r w:rsidRPr="00F46AB3">
        <w:rPr>
          <w:rFonts w:ascii="Palatino Linotype" w:hAnsi="Palatino Linotype"/>
          <w:sz w:val="18"/>
          <w:szCs w:val="18"/>
        </w:rPr>
        <w:fldChar w:fldCharType="separate"/>
      </w:r>
      <w:r w:rsidR="00252753">
        <w:rPr>
          <w:rFonts w:ascii="Palatino Linotype" w:hAnsi="Palatino Linotype"/>
          <w:noProof/>
          <w:sz w:val="18"/>
          <w:szCs w:val="18"/>
        </w:rPr>
        <w:t>1</w:t>
      </w:r>
      <w:r w:rsidRPr="00F46AB3">
        <w:rPr>
          <w:rFonts w:ascii="Palatino Linotype" w:hAnsi="Palatino Linotype"/>
          <w:sz w:val="18"/>
          <w:szCs w:val="18"/>
        </w:rPr>
        <w:fldChar w:fldCharType="end"/>
      </w:r>
      <w:r w:rsidR="00A15D72">
        <w:rPr>
          <w:rFonts w:ascii="Palatino Linotype" w:hAnsi="Palatino Linotype"/>
          <w:sz w:val="18"/>
          <w:szCs w:val="18"/>
        </w:rPr>
        <w:t>:</w:t>
      </w:r>
      <w:r w:rsidRPr="00F46AB3">
        <w:rPr>
          <w:rFonts w:ascii="Palatino Linotype" w:hAnsi="Palatino Linotype"/>
          <w:b w:val="0"/>
          <w:sz w:val="18"/>
          <w:szCs w:val="18"/>
        </w:rPr>
        <w:t xml:space="preserve"> Modelo desenvolvido por Nobes (1998).</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963"/>
        <w:gridCol w:w="4928"/>
      </w:tblGrid>
      <w:tr w:rsidR="00F46AB3" w:rsidRPr="00F46AB3" w14:paraId="3424A1D2" w14:textId="77777777" w:rsidTr="006C2A77">
        <w:tc>
          <w:tcPr>
            <w:tcW w:w="2180" w:type="dxa"/>
            <w:shd w:val="clear" w:color="auto" w:fill="auto"/>
          </w:tcPr>
          <w:p w14:paraId="3424A1CF" w14:textId="592B655E" w:rsidR="00005715" w:rsidRPr="00F46AB3" w:rsidRDefault="00005715" w:rsidP="00331E96">
            <w:pPr>
              <w:ind w:firstLine="0"/>
              <w:rPr>
                <w:rFonts w:ascii="Palatino Linotype" w:hAnsi="Palatino Linotype"/>
                <w:sz w:val="18"/>
                <w:szCs w:val="18"/>
              </w:rPr>
            </w:pPr>
            <w:r w:rsidRPr="00F46AB3">
              <w:rPr>
                <w:rFonts w:ascii="Palatino Linotype" w:hAnsi="Palatino Linotype"/>
                <w:sz w:val="18"/>
                <w:szCs w:val="18"/>
              </w:rPr>
              <w:t xml:space="preserve">Países com cultura tipo1 </w:t>
            </w:r>
          </w:p>
        </w:tc>
        <w:tc>
          <w:tcPr>
            <w:tcW w:w="1963" w:type="dxa"/>
            <w:shd w:val="clear" w:color="auto" w:fill="auto"/>
          </w:tcPr>
          <w:p w14:paraId="3424A1D0" w14:textId="77777777" w:rsidR="00005715" w:rsidRPr="00F46AB3" w:rsidRDefault="00005715"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Forte </w:t>
            </w:r>
            <w:r w:rsidRPr="00F46AB3">
              <w:rPr>
                <w:rFonts w:ascii="Palatino Linotype" w:hAnsi="Palatino Linotype"/>
                <w:i/>
                <w:sz w:val="18"/>
                <w:szCs w:val="18"/>
              </w:rPr>
              <w:t>outsider equity</w:t>
            </w:r>
          </w:p>
        </w:tc>
        <w:tc>
          <w:tcPr>
            <w:tcW w:w="4928" w:type="dxa"/>
            <w:shd w:val="clear" w:color="auto" w:fill="auto"/>
          </w:tcPr>
          <w:p w14:paraId="3424A1D1" w14:textId="77777777" w:rsidR="00005715" w:rsidRPr="00F46AB3" w:rsidRDefault="00005715"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Classe A </w:t>
            </w:r>
            <w:r w:rsidRPr="00F46AB3">
              <w:rPr>
                <w:rFonts w:ascii="Palatino Linotype" w:hAnsi="Palatino Linotype" w:cs="Palatino Linotype"/>
                <w:sz w:val="18"/>
                <w:szCs w:val="18"/>
              </w:rPr>
              <w:t>–</w:t>
            </w:r>
            <w:r w:rsidRPr="00F46AB3">
              <w:rPr>
                <w:rFonts w:ascii="Palatino Linotype" w:hAnsi="Palatino Linotype"/>
                <w:sz w:val="18"/>
                <w:szCs w:val="18"/>
              </w:rPr>
              <w:t xml:space="preserve"> Contabilidade para investidores</w:t>
            </w:r>
          </w:p>
        </w:tc>
      </w:tr>
      <w:tr w:rsidR="006463C0" w:rsidRPr="00F46AB3" w14:paraId="3424A1D5" w14:textId="77777777" w:rsidTr="006C2A77">
        <w:tc>
          <w:tcPr>
            <w:tcW w:w="4143" w:type="dxa"/>
            <w:gridSpan w:val="2"/>
            <w:shd w:val="clear" w:color="auto" w:fill="auto"/>
          </w:tcPr>
          <w:p w14:paraId="3424A1D3" w14:textId="77777777" w:rsidR="006463C0" w:rsidRPr="00F46AB3" w:rsidRDefault="006463C0" w:rsidP="006463C0">
            <w:pPr>
              <w:ind w:firstLine="0"/>
              <w:rPr>
                <w:rFonts w:ascii="Palatino Linotype" w:hAnsi="Palatino Linotype"/>
                <w:i/>
                <w:sz w:val="18"/>
                <w:szCs w:val="18"/>
              </w:rPr>
            </w:pPr>
            <w:r w:rsidRPr="00F46AB3">
              <w:rPr>
                <w:rFonts w:ascii="Palatino Linotype" w:hAnsi="Palatino Linotype"/>
                <w:sz w:val="18"/>
                <w:szCs w:val="18"/>
              </w:rPr>
              <w:t>Países com cultura tipo 2</w:t>
            </w:r>
            <w:r>
              <w:rPr>
                <w:rFonts w:ascii="Palatino Linotype" w:hAnsi="Palatino Linotype"/>
                <w:sz w:val="18"/>
                <w:szCs w:val="18"/>
              </w:rPr>
              <w:t xml:space="preserve">    </w:t>
            </w:r>
            <w:r w:rsidRPr="00F46AB3">
              <w:rPr>
                <w:rFonts w:ascii="Times New Roman" w:hAnsi="Times New Roman"/>
                <w:sz w:val="18"/>
                <w:szCs w:val="18"/>
              </w:rPr>
              <w:t>→</w:t>
            </w:r>
            <w:r>
              <w:rPr>
                <w:rFonts w:ascii="Palatino Linotype" w:hAnsi="Palatino Linotype"/>
                <w:sz w:val="18"/>
                <w:szCs w:val="18"/>
              </w:rPr>
              <w:t xml:space="preserve">Fraco </w:t>
            </w:r>
            <w:r w:rsidRPr="00F46AB3">
              <w:rPr>
                <w:rFonts w:ascii="Palatino Linotype" w:hAnsi="Palatino Linotype"/>
                <w:i/>
                <w:sz w:val="18"/>
                <w:szCs w:val="18"/>
              </w:rPr>
              <w:t>outsider equity</w:t>
            </w:r>
          </w:p>
        </w:tc>
        <w:tc>
          <w:tcPr>
            <w:tcW w:w="4928" w:type="dxa"/>
            <w:shd w:val="clear" w:color="auto" w:fill="auto"/>
          </w:tcPr>
          <w:p w14:paraId="3424A1D4" w14:textId="77777777" w:rsidR="006463C0" w:rsidRPr="00F46AB3" w:rsidRDefault="006463C0"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Classe B </w:t>
            </w:r>
            <w:r w:rsidRPr="00F46AB3">
              <w:rPr>
                <w:rFonts w:ascii="Palatino Linotype" w:hAnsi="Palatino Linotype" w:cs="Palatino Linotype"/>
                <w:sz w:val="18"/>
                <w:szCs w:val="18"/>
              </w:rPr>
              <w:t>–</w:t>
            </w:r>
            <w:r w:rsidRPr="00F46AB3">
              <w:rPr>
                <w:rFonts w:ascii="Palatino Linotype" w:hAnsi="Palatino Linotype"/>
                <w:sz w:val="18"/>
                <w:szCs w:val="18"/>
              </w:rPr>
              <w:t xml:space="preserve"> Contabilidade para tributa</w:t>
            </w:r>
            <w:r w:rsidRPr="00F46AB3">
              <w:rPr>
                <w:rFonts w:ascii="Palatino Linotype" w:hAnsi="Palatino Linotype" w:cs="Palatino Linotype"/>
                <w:sz w:val="18"/>
                <w:szCs w:val="18"/>
              </w:rPr>
              <w:t>çã</w:t>
            </w:r>
            <w:r w:rsidRPr="00F46AB3">
              <w:rPr>
                <w:rFonts w:ascii="Palatino Linotype" w:hAnsi="Palatino Linotype"/>
                <w:sz w:val="18"/>
                <w:szCs w:val="18"/>
              </w:rPr>
              <w:t>o e credores</w:t>
            </w:r>
          </w:p>
        </w:tc>
      </w:tr>
    </w:tbl>
    <w:p w14:paraId="3424A1D7" w14:textId="1B8EB528" w:rsidR="006463C0" w:rsidRDefault="00005715" w:rsidP="00503154">
      <w:pPr>
        <w:ind w:firstLine="0"/>
        <w:rPr>
          <w:rFonts w:ascii="Palatino Linotype" w:hAnsi="Palatino Linotype"/>
          <w:sz w:val="18"/>
          <w:szCs w:val="18"/>
        </w:rPr>
      </w:pPr>
      <w:r w:rsidRPr="00A15D72">
        <w:rPr>
          <w:rFonts w:ascii="Palatino Linotype" w:hAnsi="Palatino Linotype"/>
          <w:b/>
          <w:sz w:val="18"/>
          <w:szCs w:val="18"/>
        </w:rPr>
        <w:t>Fonte</w:t>
      </w:r>
      <w:r w:rsidR="00A15D72">
        <w:rPr>
          <w:rFonts w:ascii="Palatino Linotype" w:hAnsi="Palatino Linotype"/>
          <w:b/>
          <w:sz w:val="18"/>
          <w:szCs w:val="18"/>
        </w:rPr>
        <w:t>.</w:t>
      </w:r>
      <w:r w:rsidRPr="00F46AB3">
        <w:rPr>
          <w:rFonts w:ascii="Palatino Linotype" w:hAnsi="Palatino Linotype"/>
          <w:sz w:val="18"/>
          <w:szCs w:val="18"/>
        </w:rPr>
        <w:t xml:space="preserve"> Nobes (1998, p. 178).</w:t>
      </w:r>
    </w:p>
    <w:p w14:paraId="4CC87075" w14:textId="77777777" w:rsidR="00503154" w:rsidRDefault="00503154" w:rsidP="00503154">
      <w:pPr>
        <w:ind w:firstLine="0"/>
        <w:rPr>
          <w:rFonts w:ascii="Palatino Linotype" w:hAnsi="Palatino Linotype"/>
          <w:sz w:val="22"/>
        </w:rPr>
      </w:pPr>
    </w:p>
    <w:p w14:paraId="3424A1D8" w14:textId="0E2E2220" w:rsidR="00005715" w:rsidRDefault="00005715" w:rsidP="00E4187D">
      <w:pPr>
        <w:rPr>
          <w:rFonts w:ascii="Palatino Linotype" w:hAnsi="Palatino Linotype"/>
          <w:sz w:val="22"/>
        </w:rPr>
      </w:pPr>
      <w:r w:rsidRPr="00E4187D">
        <w:rPr>
          <w:rFonts w:ascii="Palatino Linotype" w:hAnsi="Palatino Linotype"/>
          <w:sz w:val="22"/>
        </w:rPr>
        <w:t xml:space="preserve">Conforme a tabela 1, países com cultura tipo 1, apresentam uma ampla participação de investidores (Forte </w:t>
      </w:r>
      <w:r w:rsidRPr="00F46AB3">
        <w:rPr>
          <w:rFonts w:ascii="Palatino Linotype" w:hAnsi="Palatino Linotype"/>
          <w:i/>
          <w:sz w:val="22"/>
        </w:rPr>
        <w:t>outsider equity</w:t>
      </w:r>
      <w:r w:rsidR="00360FF1">
        <w:rPr>
          <w:rFonts w:ascii="Palatino Linotype" w:hAnsi="Palatino Linotype"/>
          <w:sz w:val="22"/>
        </w:rPr>
        <w:t>)</w:t>
      </w:r>
      <w:r w:rsidR="008F412B">
        <w:rPr>
          <w:rFonts w:ascii="Palatino Linotype" w:hAnsi="Palatino Linotype"/>
          <w:sz w:val="22"/>
        </w:rPr>
        <w:t xml:space="preserve">, estes países possuem </w:t>
      </w:r>
      <w:r w:rsidR="00360FF1">
        <w:rPr>
          <w:rFonts w:ascii="Palatino Linotype" w:hAnsi="Palatino Linotype"/>
          <w:sz w:val="22"/>
        </w:rPr>
        <w:t xml:space="preserve">uma contabilidade caracterizada </w:t>
      </w:r>
      <w:r w:rsidR="00360FF1">
        <w:rPr>
          <w:rFonts w:ascii="Palatino Linotype" w:hAnsi="Palatino Linotype"/>
          <w:sz w:val="22"/>
        </w:rPr>
        <w:lastRenderedPageBreak/>
        <w:t>como Classe A</w:t>
      </w:r>
      <w:r w:rsidR="008F412B">
        <w:rPr>
          <w:rFonts w:ascii="Palatino Linotype" w:hAnsi="Palatino Linotype"/>
          <w:sz w:val="22"/>
        </w:rPr>
        <w:t>, onde</w:t>
      </w:r>
      <w:r w:rsidR="00360FF1">
        <w:rPr>
          <w:rFonts w:ascii="Palatino Linotype" w:hAnsi="Palatino Linotype"/>
          <w:sz w:val="22"/>
        </w:rPr>
        <w:t xml:space="preserve"> suas informações </w:t>
      </w:r>
      <w:r w:rsidR="008F412B">
        <w:rPr>
          <w:rFonts w:ascii="Palatino Linotype" w:hAnsi="Palatino Linotype"/>
          <w:sz w:val="22"/>
        </w:rPr>
        <w:t xml:space="preserve">estão </w:t>
      </w:r>
      <w:r w:rsidR="00360FF1">
        <w:rPr>
          <w:rFonts w:ascii="Palatino Linotype" w:hAnsi="Palatino Linotype"/>
          <w:sz w:val="22"/>
        </w:rPr>
        <w:t xml:space="preserve">direcionadas aos investidores e </w:t>
      </w:r>
      <w:r w:rsidR="002106A0">
        <w:rPr>
          <w:rFonts w:ascii="Palatino Linotype" w:hAnsi="Palatino Linotype"/>
          <w:sz w:val="22"/>
        </w:rPr>
        <w:t>potenciais</w:t>
      </w:r>
      <w:r w:rsidR="00360FF1">
        <w:rPr>
          <w:rFonts w:ascii="Palatino Linotype" w:hAnsi="Palatino Linotype"/>
          <w:sz w:val="22"/>
        </w:rPr>
        <w:t xml:space="preserve"> investidores. D</w:t>
      </w:r>
      <w:r w:rsidRPr="00E4187D">
        <w:rPr>
          <w:rFonts w:ascii="Palatino Linotype" w:hAnsi="Palatino Linotype"/>
          <w:sz w:val="22"/>
        </w:rPr>
        <w:t xml:space="preserve">entre os países que possuem forte </w:t>
      </w:r>
      <w:r w:rsidRPr="00F46AB3">
        <w:rPr>
          <w:rFonts w:ascii="Palatino Linotype" w:hAnsi="Palatino Linotype"/>
          <w:i/>
          <w:sz w:val="22"/>
        </w:rPr>
        <w:t>outsider equity</w:t>
      </w:r>
      <w:r w:rsidRPr="00E4187D">
        <w:rPr>
          <w:rFonts w:ascii="Palatino Linotype" w:hAnsi="Palatino Linotype"/>
          <w:sz w:val="22"/>
        </w:rPr>
        <w:t xml:space="preserve">, encontra-se EUA, Austrália e Reino Unido. Já </w:t>
      </w:r>
      <w:r w:rsidR="00F46AB3">
        <w:rPr>
          <w:rFonts w:ascii="Palatino Linotype" w:hAnsi="Palatino Linotype"/>
          <w:sz w:val="22"/>
        </w:rPr>
        <w:t xml:space="preserve">os </w:t>
      </w:r>
      <w:r w:rsidRPr="00E4187D">
        <w:rPr>
          <w:rFonts w:ascii="Palatino Linotype" w:hAnsi="Palatino Linotype"/>
          <w:sz w:val="22"/>
        </w:rPr>
        <w:t>países com cultura tipo 2, possuem fraca participação de investidores do mercado de capitais</w:t>
      </w:r>
      <w:r w:rsidR="00360FF1">
        <w:rPr>
          <w:rFonts w:ascii="Palatino Linotype" w:hAnsi="Palatino Linotype"/>
          <w:sz w:val="22"/>
        </w:rPr>
        <w:t>, ou seja, f</w:t>
      </w:r>
      <w:r w:rsidR="00360FF1" w:rsidRPr="00360FF1">
        <w:rPr>
          <w:rFonts w:ascii="Palatino Linotype" w:hAnsi="Palatino Linotype"/>
          <w:sz w:val="22"/>
        </w:rPr>
        <w:t xml:space="preserve">raco </w:t>
      </w:r>
      <w:r w:rsidR="00360FF1" w:rsidRPr="00360FF1">
        <w:rPr>
          <w:rFonts w:ascii="Palatino Linotype" w:hAnsi="Palatino Linotype"/>
          <w:i/>
          <w:sz w:val="22"/>
        </w:rPr>
        <w:t>outsider equity</w:t>
      </w:r>
      <w:r w:rsidRPr="00E4187D">
        <w:rPr>
          <w:rFonts w:ascii="Palatino Linotype" w:hAnsi="Palatino Linotype"/>
          <w:sz w:val="22"/>
        </w:rPr>
        <w:t xml:space="preserve">, </w:t>
      </w:r>
      <w:r w:rsidR="00F46AB3">
        <w:rPr>
          <w:rFonts w:ascii="Palatino Linotype" w:hAnsi="Palatino Linotype"/>
          <w:sz w:val="22"/>
        </w:rPr>
        <w:t>além disso,</w:t>
      </w:r>
      <w:r w:rsidRPr="00E4187D">
        <w:rPr>
          <w:rFonts w:ascii="Palatino Linotype" w:hAnsi="Palatino Linotype"/>
          <w:sz w:val="22"/>
        </w:rPr>
        <w:t xml:space="preserve"> possuem uma contabilidade </w:t>
      </w:r>
      <w:r w:rsidR="00360FF1">
        <w:rPr>
          <w:rFonts w:ascii="Palatino Linotype" w:hAnsi="Palatino Linotype"/>
          <w:sz w:val="22"/>
        </w:rPr>
        <w:t>caracterizada como Classe B</w:t>
      </w:r>
      <w:r w:rsidR="002B40AE">
        <w:rPr>
          <w:rFonts w:ascii="Palatino Linotype" w:hAnsi="Palatino Linotype"/>
          <w:sz w:val="22"/>
        </w:rPr>
        <w:t>,</w:t>
      </w:r>
      <w:r w:rsidR="00360FF1">
        <w:rPr>
          <w:rFonts w:ascii="Palatino Linotype" w:hAnsi="Palatino Linotype"/>
          <w:sz w:val="22"/>
        </w:rPr>
        <w:t xml:space="preserve"> que está </w:t>
      </w:r>
      <w:r w:rsidRPr="00E4187D">
        <w:rPr>
          <w:rFonts w:ascii="Palatino Linotype" w:hAnsi="Palatino Linotype"/>
          <w:sz w:val="22"/>
        </w:rPr>
        <w:t xml:space="preserve">voltada para tributação e credores, dentre os países </w:t>
      </w:r>
      <w:r w:rsidR="00360FF1">
        <w:rPr>
          <w:rFonts w:ascii="Palatino Linotype" w:hAnsi="Palatino Linotype"/>
          <w:sz w:val="22"/>
        </w:rPr>
        <w:t>que possuem f</w:t>
      </w:r>
      <w:r w:rsidR="00360FF1" w:rsidRPr="00360FF1">
        <w:rPr>
          <w:rFonts w:ascii="Palatino Linotype" w:hAnsi="Palatino Linotype"/>
          <w:sz w:val="22"/>
        </w:rPr>
        <w:t xml:space="preserve">raco </w:t>
      </w:r>
      <w:r w:rsidR="00360FF1" w:rsidRPr="00360FF1">
        <w:rPr>
          <w:rFonts w:ascii="Palatino Linotype" w:hAnsi="Palatino Linotype"/>
          <w:i/>
          <w:sz w:val="22"/>
        </w:rPr>
        <w:t>outsider equity</w:t>
      </w:r>
      <w:r w:rsidRPr="00E4187D">
        <w:rPr>
          <w:rFonts w:ascii="Palatino Linotype" w:hAnsi="Palatino Linotype"/>
          <w:sz w:val="22"/>
        </w:rPr>
        <w:t>, encontram-se França, Alemanha e Itália.</w:t>
      </w:r>
    </w:p>
    <w:p w14:paraId="3424A1D9" w14:textId="77777777" w:rsidR="00005715" w:rsidRPr="00E11A80" w:rsidRDefault="003922D9" w:rsidP="00E4187D">
      <w:pPr>
        <w:rPr>
          <w:rFonts w:ascii="Palatino Linotype" w:hAnsi="Palatino Linotype"/>
          <w:sz w:val="22"/>
        </w:rPr>
      </w:pPr>
      <w:r>
        <w:rPr>
          <w:rFonts w:ascii="Palatino Linotype" w:hAnsi="Palatino Linotype"/>
          <w:sz w:val="22"/>
        </w:rPr>
        <w:t>É verdade que o Brasil a partir da Lei 11.638/07</w:t>
      </w:r>
      <w:r w:rsidR="00293FE3">
        <w:rPr>
          <w:rFonts w:ascii="Palatino Linotype" w:hAnsi="Palatino Linotype"/>
          <w:sz w:val="22"/>
        </w:rPr>
        <w:t>, de modo geral,</w:t>
      </w:r>
      <w:r>
        <w:rPr>
          <w:rFonts w:ascii="Palatino Linotype" w:hAnsi="Palatino Linotype"/>
          <w:sz w:val="22"/>
        </w:rPr>
        <w:t xml:space="preserve"> adotou um padrão contábil baseado nas normas internacionais de contabilidade (IFRS) que, em tese, é um padrão para países de cultura tipo 1 e consequentemente, possuem uma forte participação de investidores financiando as empresas. </w:t>
      </w:r>
      <w:r w:rsidRPr="00E11A80">
        <w:rPr>
          <w:rFonts w:ascii="Palatino Linotype" w:hAnsi="Palatino Linotype"/>
          <w:sz w:val="22"/>
        </w:rPr>
        <w:t>Assim, passa-se a questionar se houveram alterações na hierarquia de financiamentos das companhias brasileiras</w:t>
      </w:r>
      <w:r w:rsidR="00293FE3" w:rsidRPr="00E11A80">
        <w:rPr>
          <w:rFonts w:ascii="Palatino Linotype" w:hAnsi="Palatino Linotype"/>
          <w:sz w:val="22"/>
        </w:rPr>
        <w:t>, a partir dessa mudança</w:t>
      </w:r>
      <w:r w:rsidRPr="00E11A80">
        <w:rPr>
          <w:rFonts w:ascii="Palatino Linotype" w:hAnsi="Palatino Linotype"/>
          <w:sz w:val="22"/>
        </w:rPr>
        <w:t xml:space="preserve"> de procedimentos contábeis (</w:t>
      </w:r>
      <w:r w:rsidR="00293FE3" w:rsidRPr="00E11A80">
        <w:rPr>
          <w:rFonts w:ascii="Palatino Linotype" w:hAnsi="Palatino Linotype"/>
          <w:sz w:val="22"/>
        </w:rPr>
        <w:t>Silva, 2015; Farias &amp; Farias, 2012</w:t>
      </w:r>
      <w:r w:rsidRPr="00E11A80">
        <w:rPr>
          <w:rFonts w:ascii="Palatino Linotype" w:hAnsi="Palatino Linotype"/>
          <w:sz w:val="22"/>
        </w:rPr>
        <w:t>)</w:t>
      </w:r>
      <w:r w:rsidR="00E238DA" w:rsidRPr="00E11A80">
        <w:rPr>
          <w:rFonts w:ascii="Palatino Linotype" w:hAnsi="Palatino Linotype"/>
          <w:sz w:val="22"/>
        </w:rPr>
        <w:t>.</w:t>
      </w:r>
    </w:p>
    <w:p w14:paraId="3424A1DA" w14:textId="77777777" w:rsidR="00E238DA" w:rsidRPr="00E4187D" w:rsidRDefault="00E238DA" w:rsidP="00E4187D">
      <w:pPr>
        <w:rPr>
          <w:rFonts w:ascii="Palatino Linotype" w:hAnsi="Palatino Linotype"/>
          <w:sz w:val="22"/>
        </w:rPr>
      </w:pPr>
    </w:p>
    <w:p w14:paraId="3424A1DB" w14:textId="77777777" w:rsidR="00005715" w:rsidRPr="00F46AB3" w:rsidRDefault="00005715" w:rsidP="00F46AB3">
      <w:pPr>
        <w:pStyle w:val="PargrafodaLista"/>
        <w:numPr>
          <w:ilvl w:val="1"/>
          <w:numId w:val="22"/>
        </w:numPr>
        <w:rPr>
          <w:rFonts w:ascii="Palatino Linotype" w:hAnsi="Palatino Linotype"/>
          <w:b/>
          <w:sz w:val="22"/>
        </w:rPr>
      </w:pPr>
      <w:r w:rsidRPr="00F46AB3">
        <w:rPr>
          <w:rFonts w:ascii="Palatino Linotype" w:hAnsi="Palatino Linotype"/>
          <w:b/>
          <w:sz w:val="22"/>
        </w:rPr>
        <w:t>Teorias de finanças</w:t>
      </w:r>
    </w:p>
    <w:p w14:paraId="3424A1DC" w14:textId="77777777" w:rsidR="00DD76BE" w:rsidRDefault="00005715" w:rsidP="00F46AB3">
      <w:pPr>
        <w:rPr>
          <w:rFonts w:ascii="Palatino Linotype" w:hAnsi="Palatino Linotype"/>
          <w:sz w:val="22"/>
        </w:rPr>
      </w:pPr>
      <w:r w:rsidRPr="00E4187D">
        <w:rPr>
          <w:rFonts w:ascii="Palatino Linotype" w:hAnsi="Palatino Linotype"/>
          <w:sz w:val="22"/>
        </w:rPr>
        <w:t>Quanto aos percussores das teorias de finanças</w:t>
      </w:r>
      <w:r w:rsidR="00DD76BE">
        <w:rPr>
          <w:rFonts w:ascii="Palatino Linotype" w:hAnsi="Palatino Linotype"/>
          <w:sz w:val="22"/>
        </w:rPr>
        <w:t>,</w:t>
      </w:r>
      <w:r w:rsidRPr="00E4187D">
        <w:rPr>
          <w:rFonts w:ascii="Palatino Linotype" w:hAnsi="Palatino Linotype"/>
          <w:sz w:val="22"/>
        </w:rPr>
        <w:t xml:space="preserve"> Durand (1952) indicou a existência de uma estrutura ótima de financiamento. Já Modiglian</w:t>
      </w:r>
      <w:r w:rsidR="0078671E">
        <w:rPr>
          <w:rFonts w:ascii="Palatino Linotype" w:hAnsi="Palatino Linotype"/>
          <w:sz w:val="22"/>
        </w:rPr>
        <w:t>i</w:t>
      </w:r>
      <w:r w:rsidRPr="00E4187D">
        <w:rPr>
          <w:rFonts w:ascii="Palatino Linotype" w:hAnsi="Palatino Linotype"/>
          <w:sz w:val="22"/>
        </w:rPr>
        <w:t xml:space="preserve"> e Miller (1958) defendiam, sob certas condições a irrelevância da forma de financiamento das companhias. Tais afirmativas contraditórias fez com que estudos referentes à temática forma de financiamento das companhias, se tornassem cada vez mais discutidos em finanças corporativas.</w:t>
      </w:r>
    </w:p>
    <w:p w14:paraId="3424A1DD" w14:textId="77777777" w:rsidR="00005715" w:rsidRPr="00E4187D" w:rsidRDefault="00005715" w:rsidP="00F46AB3">
      <w:pPr>
        <w:rPr>
          <w:rFonts w:ascii="Palatino Linotype" w:hAnsi="Palatino Linotype"/>
          <w:sz w:val="22"/>
        </w:rPr>
      </w:pPr>
      <w:r w:rsidRPr="00E4187D">
        <w:rPr>
          <w:rFonts w:ascii="Palatino Linotype" w:hAnsi="Palatino Linotype"/>
          <w:sz w:val="22"/>
        </w:rPr>
        <w:t xml:space="preserve"> Diversos estudos referentes a determinantes de estrutura de capital têm despertado interesse tanto de pesquisas internacionais quanto nacionais (Myers &amp; Majluf, 1984; Myers, 1984; Perobelli &amp; Famá, 2002; Procianoy &amp; Schnorrenberger, 2004; Albanez &amp; Valle, 2009; Bastos &amp; Nakamura, 2009; Padilha, Michels &amp; Silva, 2015).</w:t>
      </w:r>
    </w:p>
    <w:p w14:paraId="3424A1DE"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Brito, Corrar e Batistella (2007) essa discussão deu origem a um grande esforço de pesquisa centrado na busca dos aspectos que explicam a forma de como as </w:t>
      </w:r>
      <w:r w:rsidR="00DD76BE">
        <w:rPr>
          <w:rFonts w:ascii="Palatino Linotype" w:hAnsi="Palatino Linotype"/>
          <w:sz w:val="22"/>
        </w:rPr>
        <w:t>companhias</w:t>
      </w:r>
      <w:r w:rsidRPr="00E4187D">
        <w:rPr>
          <w:rFonts w:ascii="Palatino Linotype" w:hAnsi="Palatino Linotype"/>
          <w:sz w:val="22"/>
        </w:rPr>
        <w:t xml:space="preserve"> se financiam. Procianoy e Schnorrenberger (2004), Perobelli e Famá (2002) comentam que a</w:t>
      </w:r>
      <w:r w:rsidR="001652DD">
        <w:rPr>
          <w:rFonts w:ascii="Palatino Linotype" w:hAnsi="Palatino Linotype"/>
          <w:sz w:val="22"/>
        </w:rPr>
        <w:t>s</w:t>
      </w:r>
      <w:r w:rsidRPr="00E4187D">
        <w:rPr>
          <w:rFonts w:ascii="Palatino Linotype" w:hAnsi="Palatino Linotype"/>
          <w:sz w:val="22"/>
        </w:rPr>
        <w:t xml:space="preserve"> teoria</w:t>
      </w:r>
      <w:r w:rsidR="001652DD">
        <w:rPr>
          <w:rFonts w:ascii="Palatino Linotype" w:hAnsi="Palatino Linotype"/>
          <w:sz w:val="22"/>
        </w:rPr>
        <w:t>s</w:t>
      </w:r>
      <w:r w:rsidRPr="00E4187D">
        <w:rPr>
          <w:rFonts w:ascii="Palatino Linotype" w:hAnsi="Palatino Linotype"/>
          <w:sz w:val="22"/>
        </w:rPr>
        <w:t xml:space="preserve"> de finanças e as pesquisas internacionais indicam vários motivos para as decisões de políticas de financiamentos a serem adotadas. </w:t>
      </w:r>
    </w:p>
    <w:p w14:paraId="3424A1DF" w14:textId="77777777" w:rsidR="00005715" w:rsidRPr="00E4187D" w:rsidRDefault="00005715" w:rsidP="00E4187D">
      <w:pPr>
        <w:rPr>
          <w:rFonts w:ascii="Palatino Linotype" w:hAnsi="Palatino Linotype"/>
          <w:sz w:val="22"/>
        </w:rPr>
      </w:pPr>
      <w:r w:rsidRPr="00E4187D">
        <w:rPr>
          <w:rFonts w:ascii="Palatino Linotype" w:hAnsi="Palatino Linotype"/>
          <w:sz w:val="22"/>
        </w:rPr>
        <w:t>São diversas as teorias que sustentam a presente discussão. Como comentado, Durand (1952) a exemplo, foi precursor na defesa da existência de uma estrutura ótima de financiamento</w:t>
      </w:r>
      <w:r w:rsidR="0078671E">
        <w:rPr>
          <w:rFonts w:ascii="Palatino Linotype" w:hAnsi="Palatino Linotype"/>
          <w:sz w:val="22"/>
        </w:rPr>
        <w:t>. Modigliani</w:t>
      </w:r>
      <w:r w:rsidRPr="00E4187D">
        <w:rPr>
          <w:rFonts w:ascii="Palatino Linotype" w:hAnsi="Palatino Linotype"/>
          <w:sz w:val="22"/>
        </w:rPr>
        <w:t xml:space="preserve"> e Miller (1958) defendiam que, sob certas premissas restritivas, a estrutura de capital das </w:t>
      </w:r>
      <w:r w:rsidR="00DD76BE">
        <w:rPr>
          <w:rFonts w:ascii="Palatino Linotype" w:hAnsi="Palatino Linotype"/>
          <w:sz w:val="22"/>
        </w:rPr>
        <w:t>companhias</w:t>
      </w:r>
      <w:r w:rsidRPr="00E4187D">
        <w:rPr>
          <w:rFonts w:ascii="Palatino Linotype" w:hAnsi="Palatino Linotype"/>
          <w:sz w:val="22"/>
        </w:rPr>
        <w:t xml:space="preserve"> é irrelevante para o valor das mesmas. Ressalta-se que e</w:t>
      </w:r>
      <w:r w:rsidR="00DD76BE">
        <w:rPr>
          <w:rFonts w:ascii="Palatino Linotype" w:hAnsi="Palatino Linotype"/>
          <w:sz w:val="22"/>
        </w:rPr>
        <w:t>st</w:t>
      </w:r>
      <w:r w:rsidRPr="00E4187D">
        <w:rPr>
          <w:rFonts w:ascii="Palatino Linotype" w:hAnsi="Palatino Linotype"/>
          <w:sz w:val="22"/>
        </w:rPr>
        <w:t>a afirmativa foi reconsiderada em estudos posteriores pelos mesmos autores. Jensen e Meckling (1976) defendem que a estrutura ótima de capital é aquela que minimiza o custo da agência, assim, desenvolveram sua teoria sobre as implicações do relacionamento de agência entre executivos e os proprietários da firma.</w:t>
      </w:r>
    </w:p>
    <w:p w14:paraId="3424A1E0" w14:textId="77777777" w:rsidR="00005715" w:rsidRPr="00E4187D" w:rsidRDefault="00005715" w:rsidP="00E4187D">
      <w:pPr>
        <w:rPr>
          <w:rFonts w:ascii="Palatino Linotype" w:hAnsi="Palatino Linotype"/>
          <w:sz w:val="22"/>
        </w:rPr>
      </w:pPr>
      <w:r w:rsidRPr="00E4187D">
        <w:rPr>
          <w:rFonts w:ascii="Palatino Linotype" w:hAnsi="Palatino Linotype"/>
          <w:sz w:val="22"/>
        </w:rPr>
        <w:t>Ao comentar a respeito das teorias (</w:t>
      </w:r>
      <w:r w:rsidRPr="00DD76BE">
        <w:rPr>
          <w:rFonts w:ascii="Palatino Linotype" w:hAnsi="Palatino Linotype"/>
          <w:i/>
          <w:sz w:val="22"/>
        </w:rPr>
        <w:t>Pecking Order</w:t>
      </w:r>
      <w:r w:rsidRPr="00E4187D">
        <w:rPr>
          <w:rFonts w:ascii="Palatino Linotype" w:hAnsi="Palatino Linotype"/>
          <w:sz w:val="22"/>
        </w:rPr>
        <w:t xml:space="preserve"> e </w:t>
      </w:r>
      <w:r w:rsidRPr="00DD76BE">
        <w:rPr>
          <w:rFonts w:ascii="Palatino Linotype" w:hAnsi="Palatino Linotype"/>
          <w:i/>
          <w:sz w:val="22"/>
        </w:rPr>
        <w:t>Trade Off</w:t>
      </w:r>
      <w:r w:rsidRPr="00E4187D">
        <w:rPr>
          <w:rFonts w:ascii="Palatino Linotype" w:hAnsi="Palatino Linotype"/>
          <w:sz w:val="22"/>
        </w:rPr>
        <w:t xml:space="preserve">) de Myers e Majluf (1984) e Myers (1984), Silva (2015) discorre que, estas se caracterizam como uma das principais fontes de pesquisa na tentativa de se entender a forma como as companhias financiam seu crescimento. Seguindo esse raciocínio, o presente estudo sustenta-se nas teorias </w:t>
      </w:r>
      <w:r w:rsidRPr="00DD76BE">
        <w:rPr>
          <w:rFonts w:ascii="Palatino Linotype" w:hAnsi="Palatino Linotype"/>
          <w:i/>
          <w:sz w:val="22"/>
        </w:rPr>
        <w:t>Pecking Order</w:t>
      </w:r>
      <w:r w:rsidRPr="00E4187D">
        <w:rPr>
          <w:rFonts w:ascii="Palatino Linotype" w:hAnsi="Palatino Linotype"/>
          <w:sz w:val="22"/>
        </w:rPr>
        <w:t xml:space="preserve">, alimentada por uma hierarquia preferencial de fontes de financiamento e, pela teoria </w:t>
      </w:r>
      <w:r w:rsidRPr="00DD76BE">
        <w:rPr>
          <w:rFonts w:ascii="Palatino Linotype" w:hAnsi="Palatino Linotype"/>
          <w:i/>
          <w:sz w:val="22"/>
        </w:rPr>
        <w:t>Trade Off</w:t>
      </w:r>
      <w:r w:rsidRPr="00E4187D">
        <w:rPr>
          <w:rFonts w:ascii="Palatino Linotype" w:hAnsi="Palatino Linotype"/>
          <w:sz w:val="22"/>
        </w:rPr>
        <w:t xml:space="preserve">, no qual, se discute a existência de uma estrutura de capital ótima. </w:t>
      </w:r>
    </w:p>
    <w:p w14:paraId="3424A1E1" w14:textId="77777777" w:rsidR="00DD76BE" w:rsidRDefault="00DD76BE" w:rsidP="00DD76BE">
      <w:pPr>
        <w:ind w:firstLine="0"/>
        <w:rPr>
          <w:rFonts w:ascii="Palatino Linotype" w:hAnsi="Palatino Linotype"/>
          <w:b/>
          <w:sz w:val="22"/>
        </w:rPr>
      </w:pPr>
    </w:p>
    <w:p w14:paraId="3424A1E2" w14:textId="77777777" w:rsidR="00005715" w:rsidRPr="00E4187D" w:rsidRDefault="00005715" w:rsidP="00DD76BE">
      <w:pPr>
        <w:ind w:firstLine="0"/>
        <w:rPr>
          <w:rFonts w:ascii="Palatino Linotype" w:hAnsi="Palatino Linotype"/>
          <w:b/>
          <w:i/>
          <w:sz w:val="22"/>
        </w:rPr>
      </w:pPr>
      <w:r w:rsidRPr="00E4187D">
        <w:rPr>
          <w:rFonts w:ascii="Palatino Linotype" w:hAnsi="Palatino Linotype"/>
          <w:b/>
          <w:sz w:val="22"/>
        </w:rPr>
        <w:t xml:space="preserve">2.2.1 </w:t>
      </w:r>
      <w:r w:rsidRPr="00E4187D">
        <w:rPr>
          <w:rFonts w:ascii="Palatino Linotype" w:hAnsi="Palatino Linotype"/>
          <w:b/>
          <w:i/>
          <w:sz w:val="22"/>
        </w:rPr>
        <w:t>Pecking Order Theory</w:t>
      </w:r>
    </w:p>
    <w:p w14:paraId="3424A1E3" w14:textId="77777777" w:rsidR="00005715" w:rsidRPr="00DD76BE" w:rsidRDefault="00005715" w:rsidP="00DD76BE">
      <w:pPr>
        <w:rPr>
          <w:rFonts w:ascii="Palatino Linotype" w:hAnsi="Palatino Linotype"/>
          <w:b/>
          <w:sz w:val="22"/>
        </w:rPr>
      </w:pPr>
      <w:r w:rsidRPr="00E4187D">
        <w:rPr>
          <w:rFonts w:ascii="Palatino Linotype" w:hAnsi="Palatino Linotype"/>
          <w:b/>
          <w:i/>
          <w:sz w:val="22"/>
        </w:rPr>
        <w:t xml:space="preserve"> </w:t>
      </w:r>
      <w:r w:rsidRPr="00E4187D">
        <w:rPr>
          <w:rFonts w:ascii="Palatino Linotype" w:hAnsi="Palatino Linotype"/>
          <w:sz w:val="22"/>
        </w:rPr>
        <w:t xml:space="preserve">A teoria </w:t>
      </w:r>
      <w:r w:rsidRPr="00DD76BE">
        <w:rPr>
          <w:rFonts w:ascii="Palatino Linotype" w:hAnsi="Palatino Linotype"/>
          <w:i/>
          <w:sz w:val="22"/>
        </w:rPr>
        <w:t>Pecking Order</w:t>
      </w:r>
      <w:r w:rsidRPr="00E4187D">
        <w:rPr>
          <w:rFonts w:ascii="Palatino Linotype" w:hAnsi="Palatino Linotype"/>
          <w:sz w:val="22"/>
        </w:rPr>
        <w:t xml:space="preserve"> foi desenvolvida por Myers (1984) e My</w:t>
      </w:r>
      <w:r w:rsidR="00081CA5">
        <w:rPr>
          <w:rFonts w:ascii="Palatino Linotype" w:hAnsi="Palatino Linotype"/>
          <w:sz w:val="22"/>
        </w:rPr>
        <w:t>ers e Majluf (1984).</w:t>
      </w:r>
      <w:r w:rsidRPr="00E4187D">
        <w:rPr>
          <w:rFonts w:ascii="Palatino Linotype" w:hAnsi="Palatino Linotype"/>
          <w:sz w:val="22"/>
        </w:rPr>
        <w:t xml:space="preserve"> </w:t>
      </w:r>
      <w:r w:rsidR="00081CA5">
        <w:rPr>
          <w:rFonts w:ascii="Palatino Linotype" w:hAnsi="Palatino Linotype"/>
          <w:sz w:val="22"/>
        </w:rPr>
        <w:t>E</w:t>
      </w:r>
      <w:r w:rsidRPr="00E4187D">
        <w:rPr>
          <w:rFonts w:ascii="Palatino Linotype" w:hAnsi="Palatino Linotype"/>
          <w:sz w:val="22"/>
        </w:rPr>
        <w:t>ssa teoria é alimentada por uma hierarquia preferen</w:t>
      </w:r>
      <w:r w:rsidR="00081CA5">
        <w:rPr>
          <w:rFonts w:ascii="Palatino Linotype" w:hAnsi="Palatino Linotype"/>
          <w:sz w:val="22"/>
        </w:rPr>
        <w:t>cial de fontes de financiamento, e</w:t>
      </w:r>
      <w:r w:rsidRPr="00E4187D">
        <w:rPr>
          <w:rFonts w:ascii="Palatino Linotype" w:hAnsi="Palatino Linotype"/>
          <w:sz w:val="22"/>
        </w:rPr>
        <w:t xml:space="preserve">m </w:t>
      </w:r>
      <w:r w:rsidRPr="00E4187D">
        <w:rPr>
          <w:rFonts w:ascii="Palatino Linotype" w:hAnsi="Palatino Linotype"/>
          <w:sz w:val="22"/>
        </w:rPr>
        <w:lastRenderedPageBreak/>
        <w:t xml:space="preserve">decorrência da assimetria informacional o plano de fundo para a existência dessa hierarquia é a assimetria de informações entre os gestores e os novos potenciais acionistas (Medeiros </w:t>
      </w:r>
      <w:r w:rsidR="00D86A95">
        <w:rPr>
          <w:rFonts w:ascii="Palatino Linotype" w:hAnsi="Palatino Linotype"/>
          <w:sz w:val="22"/>
        </w:rPr>
        <w:t>&amp;</w:t>
      </w:r>
      <w:r w:rsidRPr="00E4187D">
        <w:rPr>
          <w:rFonts w:ascii="Palatino Linotype" w:hAnsi="Palatino Linotype"/>
          <w:sz w:val="22"/>
        </w:rPr>
        <w:t xml:space="preserve"> Daher, 2005). </w:t>
      </w:r>
    </w:p>
    <w:p w14:paraId="3424A1E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Iquiapaza, Amaral e Araújo (2008) sinalizam que Myers e Majluf (1984) foram os pioneiros em relacionar a problemática da assimetria da informação à escolha da fonte de financiamento, assinalando que esta pode influenciar na imagem e no valor da empresa. </w:t>
      </w:r>
    </w:p>
    <w:p w14:paraId="3424A1E5" w14:textId="77777777" w:rsidR="00005715" w:rsidRPr="00E4187D" w:rsidRDefault="00005715" w:rsidP="00E4187D">
      <w:pPr>
        <w:rPr>
          <w:rFonts w:ascii="Palatino Linotype" w:hAnsi="Palatino Linotype"/>
          <w:sz w:val="22"/>
        </w:rPr>
      </w:pPr>
      <w:r w:rsidRPr="00E4187D">
        <w:rPr>
          <w:rFonts w:ascii="Palatino Linotype" w:hAnsi="Palatino Linotype"/>
          <w:sz w:val="22"/>
        </w:rPr>
        <w:t>O termo “Assim</w:t>
      </w:r>
      <w:r w:rsidR="004A2018">
        <w:rPr>
          <w:rFonts w:ascii="Palatino Linotype" w:hAnsi="Palatino Linotype"/>
          <w:sz w:val="22"/>
        </w:rPr>
        <w:t>etria de informação” refere-se, em</w:t>
      </w:r>
      <w:r w:rsidRPr="00E4187D">
        <w:rPr>
          <w:rFonts w:ascii="Palatino Linotype" w:hAnsi="Palatino Linotype"/>
          <w:sz w:val="22"/>
        </w:rPr>
        <w:t xml:space="preserve"> uma dada transação, </w:t>
      </w:r>
      <w:r w:rsidR="004A2018">
        <w:rPr>
          <w:rFonts w:ascii="Palatino Linotype" w:hAnsi="Palatino Linotype"/>
          <w:sz w:val="22"/>
        </w:rPr>
        <w:t>à</w:t>
      </w:r>
      <w:r w:rsidR="00DD76BE">
        <w:rPr>
          <w:rFonts w:ascii="Palatino Linotype" w:hAnsi="Palatino Linotype"/>
          <w:sz w:val="22"/>
        </w:rPr>
        <w:t>s</w:t>
      </w:r>
      <w:r w:rsidRPr="00E4187D">
        <w:rPr>
          <w:rFonts w:ascii="Palatino Linotype" w:hAnsi="Palatino Linotype"/>
          <w:sz w:val="22"/>
        </w:rPr>
        <w:t xml:space="preserve"> informações privilegiadas que somente um dos agentes atuantes possui (Iquiapaza, Amaral &amp; Araújo, 2008). </w:t>
      </w:r>
      <w:r w:rsidR="004A2018">
        <w:rPr>
          <w:rFonts w:ascii="Palatino Linotype" w:hAnsi="Palatino Linotype"/>
          <w:sz w:val="22"/>
        </w:rPr>
        <w:t>Neste contexto</w:t>
      </w:r>
      <w:r w:rsidRPr="00E4187D">
        <w:rPr>
          <w:rFonts w:ascii="Palatino Linotype" w:hAnsi="Palatino Linotype"/>
          <w:sz w:val="22"/>
        </w:rPr>
        <w:t xml:space="preserve">, Fonseca, Silveira e Hiratuka (2016) afirmam que o problema da informação assimétrica seria proveniente do fato dos gestores terem acesso a informações referentes aos resultados operacionais e as oportunidades de investimento da empresa não disponíveis no mercado. </w:t>
      </w:r>
    </w:p>
    <w:p w14:paraId="3424A1E6"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Compreendendo o período de 1997 a 2007, Albanez e Valle (2009) se propuseram a analisar o pressuposto central da </w:t>
      </w:r>
      <w:r w:rsidRPr="004A2018">
        <w:rPr>
          <w:rFonts w:ascii="Palatino Linotype" w:hAnsi="Palatino Linotype"/>
          <w:i/>
          <w:sz w:val="22"/>
        </w:rPr>
        <w:t>Pecking Order Theory</w:t>
      </w:r>
      <w:r w:rsidRPr="00E4187D">
        <w:rPr>
          <w:rFonts w:ascii="Palatino Linotype" w:hAnsi="Palatino Linotype"/>
          <w:sz w:val="22"/>
        </w:rPr>
        <w:t xml:space="preserve"> e</w:t>
      </w:r>
      <w:r w:rsidR="004A2018">
        <w:rPr>
          <w:rFonts w:ascii="Palatino Linotype" w:hAnsi="Palatino Linotype"/>
          <w:sz w:val="22"/>
        </w:rPr>
        <w:t>,</w:t>
      </w:r>
      <w:r w:rsidRPr="00E4187D">
        <w:rPr>
          <w:rFonts w:ascii="Palatino Linotype" w:hAnsi="Palatino Linotype"/>
          <w:sz w:val="22"/>
        </w:rPr>
        <w:t xml:space="preserve"> verificar se a assimetria da informação influencia nas decisões de financiamento das </w:t>
      </w:r>
      <w:r w:rsidR="004A2018">
        <w:rPr>
          <w:rFonts w:ascii="Palatino Linotype" w:hAnsi="Palatino Linotype"/>
          <w:sz w:val="22"/>
        </w:rPr>
        <w:t>companhias</w:t>
      </w:r>
      <w:r w:rsidRPr="00E4187D">
        <w:rPr>
          <w:rFonts w:ascii="Palatino Linotype" w:hAnsi="Palatino Linotype"/>
          <w:sz w:val="22"/>
        </w:rPr>
        <w:t xml:space="preserve"> </w:t>
      </w:r>
      <w:r w:rsidR="004A2018">
        <w:rPr>
          <w:rFonts w:ascii="Palatino Linotype" w:hAnsi="Palatino Linotype"/>
          <w:sz w:val="22"/>
        </w:rPr>
        <w:t xml:space="preserve">abertas </w:t>
      </w:r>
      <w:r w:rsidRPr="00E4187D">
        <w:rPr>
          <w:rFonts w:ascii="Palatino Linotype" w:hAnsi="Palatino Linotype"/>
          <w:sz w:val="22"/>
        </w:rPr>
        <w:t xml:space="preserve">brasileiras. O principal resultado do estudo mostrou que as empresas consideradas com menor grau de assimetria informacional são mais endividadas que as demais na análise do nível de endividamento total, resultado contrário à teoria do </w:t>
      </w:r>
      <w:r w:rsidRPr="004A2018">
        <w:rPr>
          <w:rFonts w:ascii="Palatino Linotype" w:hAnsi="Palatino Linotype"/>
          <w:i/>
          <w:sz w:val="22"/>
        </w:rPr>
        <w:t>Pecking Order</w:t>
      </w:r>
      <w:r w:rsidRPr="00E4187D">
        <w:rPr>
          <w:rFonts w:ascii="Palatino Linotype" w:hAnsi="Palatino Linotype"/>
          <w:sz w:val="22"/>
        </w:rPr>
        <w:t xml:space="preserve">. </w:t>
      </w:r>
    </w:p>
    <w:p w14:paraId="3424A1E7" w14:textId="77777777" w:rsidR="009B1E1C" w:rsidRDefault="00005715" w:rsidP="00E4187D">
      <w:pPr>
        <w:rPr>
          <w:rFonts w:ascii="Palatino Linotype" w:hAnsi="Palatino Linotype"/>
          <w:sz w:val="22"/>
        </w:rPr>
      </w:pPr>
      <w:r w:rsidRPr="00E4187D">
        <w:rPr>
          <w:rFonts w:ascii="Palatino Linotype" w:hAnsi="Palatino Linotype"/>
          <w:sz w:val="22"/>
        </w:rPr>
        <w:t xml:space="preserve">A hierarquia de fontes de financiamentos que se baseia o modelo proposto por Myers e Majluf (1984) e Myers (1984) inicia-se na utilização de capital próprio, seguido de financiamentos externos através de emissão de dívidas, e por último a emissão de ações. Esta hierarquia se justifica pelo fato dos recursos gerados internamente (lucros retidos, por exemplo) não tem custos de transação para a empresa se autofinanciar. </w:t>
      </w:r>
    </w:p>
    <w:p w14:paraId="3424A1E8" w14:textId="77777777" w:rsidR="00005715" w:rsidRPr="00E4187D" w:rsidRDefault="00005715" w:rsidP="00E4187D">
      <w:pPr>
        <w:rPr>
          <w:rFonts w:ascii="Palatino Linotype" w:hAnsi="Palatino Linotype"/>
          <w:sz w:val="22"/>
        </w:rPr>
      </w:pPr>
      <w:r w:rsidRPr="00E4187D">
        <w:rPr>
          <w:rFonts w:ascii="Palatino Linotype" w:hAnsi="Palatino Linotype"/>
          <w:sz w:val="22"/>
        </w:rPr>
        <w:t>Em seguida, tem-se a emissão de dívidas, a qual num contexto de mercado pode sinalizar um panorama positivo sobre a empresa, demonstrando otimismo em relação ao seu futuro. Por fim, tem-se a capitação de recursos de terceiros via emissão de ações a qual pode sinalizar, em certo contexto de mercado, um pessimismo com relação a seus investimentos futuros, pois</w:t>
      </w:r>
      <w:r w:rsidR="009B1E1C">
        <w:rPr>
          <w:rFonts w:ascii="Palatino Linotype" w:hAnsi="Palatino Linotype"/>
          <w:sz w:val="22"/>
        </w:rPr>
        <w:t>,</w:t>
      </w:r>
      <w:r w:rsidRPr="00E4187D">
        <w:rPr>
          <w:rFonts w:ascii="Palatino Linotype" w:hAnsi="Palatino Linotype"/>
          <w:sz w:val="22"/>
        </w:rPr>
        <w:t xml:space="preserve"> pode representar a divisão de perdas com os novos acionistas (Brealey, Myers &amp; Allen, 2006).  </w:t>
      </w:r>
    </w:p>
    <w:p w14:paraId="3424A1E9" w14:textId="77777777" w:rsidR="00005715" w:rsidRPr="00E4187D" w:rsidRDefault="00005715" w:rsidP="00E4187D">
      <w:pPr>
        <w:rPr>
          <w:rFonts w:ascii="Palatino Linotype" w:hAnsi="Palatino Linotype"/>
          <w:sz w:val="22"/>
        </w:rPr>
      </w:pPr>
      <w:r w:rsidRPr="00E4187D">
        <w:rPr>
          <w:rFonts w:ascii="Palatino Linotype" w:hAnsi="Palatino Linotype"/>
          <w:sz w:val="22"/>
        </w:rPr>
        <w:t>Estudos foram desenvolvidos (França,</w:t>
      </w:r>
      <w:r w:rsidR="009B1E1C">
        <w:rPr>
          <w:rFonts w:ascii="Palatino Linotype" w:hAnsi="Palatino Linotype"/>
          <w:sz w:val="22"/>
        </w:rPr>
        <w:t xml:space="preserve"> Santos, Sandoval &amp; Santos</w:t>
      </w:r>
      <w:r w:rsidRPr="00E4187D">
        <w:rPr>
          <w:rFonts w:ascii="Palatino Linotype" w:hAnsi="Palatino Linotype"/>
          <w:sz w:val="22"/>
        </w:rPr>
        <w:t>, 2016; Kavesk</w:t>
      </w:r>
      <w:r w:rsidR="009B1E1C">
        <w:rPr>
          <w:rFonts w:ascii="Palatino Linotype" w:hAnsi="Palatino Linotype"/>
          <w:sz w:val="22"/>
        </w:rPr>
        <w:t>i, Hall, Degenhart, Vogt &amp; Hein</w:t>
      </w:r>
      <w:r w:rsidRPr="00E4187D">
        <w:rPr>
          <w:rFonts w:ascii="Palatino Linotype" w:hAnsi="Palatino Linotype"/>
          <w:sz w:val="22"/>
        </w:rPr>
        <w:t>, 2015; Correa, Basso &amp; Nakamura, 2013; Bastos &amp; Nakamura, 2009; Iquiapaza, Amaral &amp; Araujo, 2008) no</w:t>
      </w:r>
      <w:r w:rsidR="009B1E1C">
        <w:rPr>
          <w:rFonts w:ascii="Palatino Linotype" w:hAnsi="Palatino Linotype"/>
          <w:sz w:val="22"/>
        </w:rPr>
        <w:t xml:space="preserve"> sentido de investigar </w:t>
      </w:r>
      <w:r w:rsidRPr="00E4187D">
        <w:rPr>
          <w:rFonts w:ascii="Palatino Linotype" w:hAnsi="Palatino Linotype"/>
          <w:sz w:val="22"/>
        </w:rPr>
        <w:t>a rea</w:t>
      </w:r>
      <w:r w:rsidR="009B1E1C">
        <w:rPr>
          <w:rFonts w:ascii="Palatino Linotype" w:hAnsi="Palatino Linotype"/>
          <w:sz w:val="22"/>
        </w:rPr>
        <w:t>lidade das empresas brasileiras</w:t>
      </w:r>
      <w:r w:rsidRPr="00E4187D">
        <w:rPr>
          <w:rFonts w:ascii="Palatino Linotype" w:hAnsi="Palatino Linotype"/>
          <w:sz w:val="22"/>
        </w:rPr>
        <w:t xml:space="preserve"> </w:t>
      </w:r>
      <w:r w:rsidR="009B1E1C">
        <w:rPr>
          <w:rFonts w:ascii="Palatino Linotype" w:hAnsi="Palatino Linotype"/>
          <w:sz w:val="22"/>
        </w:rPr>
        <w:t>à</w:t>
      </w:r>
      <w:r w:rsidRPr="00E4187D">
        <w:rPr>
          <w:rFonts w:ascii="Palatino Linotype" w:hAnsi="Palatino Linotype"/>
          <w:sz w:val="22"/>
        </w:rPr>
        <w:t xml:space="preserve"> aplicação das ideias centrais da </w:t>
      </w:r>
      <w:r w:rsidRPr="009B1E1C">
        <w:rPr>
          <w:rFonts w:ascii="Palatino Linotype" w:hAnsi="Palatino Linotype"/>
          <w:i/>
          <w:sz w:val="22"/>
        </w:rPr>
        <w:t>Pecking Order Theory</w:t>
      </w:r>
      <w:r w:rsidRPr="00E4187D">
        <w:rPr>
          <w:rFonts w:ascii="Palatino Linotype" w:hAnsi="Palatino Linotype"/>
          <w:sz w:val="22"/>
        </w:rPr>
        <w:t xml:space="preserve">, ou seja, se o autofinanciamento é a fonte de recursos preferida pelas companhias, e que, a emissão de dívidas é </w:t>
      </w:r>
      <w:r w:rsidR="008C31A8">
        <w:rPr>
          <w:rFonts w:ascii="Palatino Linotype" w:hAnsi="Palatino Linotype"/>
          <w:sz w:val="22"/>
        </w:rPr>
        <w:t xml:space="preserve">preferível às emissões de ações quando </w:t>
      </w:r>
      <w:r w:rsidR="00C13B15">
        <w:rPr>
          <w:rFonts w:ascii="Palatino Linotype" w:hAnsi="Palatino Linotype"/>
          <w:sz w:val="22"/>
        </w:rPr>
        <w:t>a</w:t>
      </w:r>
      <w:r w:rsidR="008C31A8">
        <w:rPr>
          <w:rFonts w:ascii="Palatino Linotype" w:hAnsi="Palatino Linotype"/>
          <w:sz w:val="22"/>
        </w:rPr>
        <w:t xml:space="preserve"> preferência pelo financiamento externo.</w:t>
      </w:r>
    </w:p>
    <w:p w14:paraId="3424A1EA"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Bastos e Nakamura (2009) ao investigarem dados de 297 companhias de diversos setores da economia, pertencentes ao Brasil, México e Chile, sob a perspectiva das </w:t>
      </w:r>
      <w:r w:rsidRPr="008C31A8">
        <w:rPr>
          <w:rFonts w:ascii="Palatino Linotype" w:hAnsi="Palatino Linotype"/>
          <w:i/>
          <w:sz w:val="22"/>
        </w:rPr>
        <w:t>Trade Off Theory</w:t>
      </w:r>
      <w:r w:rsidRPr="00E4187D">
        <w:rPr>
          <w:rFonts w:ascii="Palatino Linotype" w:hAnsi="Palatino Linotype"/>
          <w:sz w:val="22"/>
        </w:rPr>
        <w:t xml:space="preserve">, </w:t>
      </w:r>
      <w:r w:rsidRPr="008C31A8">
        <w:rPr>
          <w:rFonts w:ascii="Palatino Linotype" w:hAnsi="Palatino Linotype"/>
          <w:i/>
          <w:sz w:val="22"/>
        </w:rPr>
        <w:t>Pecking Order Theory</w:t>
      </w:r>
      <w:r w:rsidRPr="00E4187D">
        <w:rPr>
          <w:rFonts w:ascii="Palatino Linotype" w:hAnsi="Palatino Linotype"/>
          <w:sz w:val="22"/>
        </w:rPr>
        <w:t xml:space="preserve">, Teoria Assimetria da informação e Teoria da Agência, concluíram que a </w:t>
      </w:r>
      <w:r w:rsidRPr="008C31A8">
        <w:rPr>
          <w:rFonts w:ascii="Palatino Linotype" w:hAnsi="Palatino Linotype"/>
          <w:i/>
          <w:sz w:val="22"/>
        </w:rPr>
        <w:t>Pecking Order Theory</w:t>
      </w:r>
      <w:r w:rsidRPr="00E4187D">
        <w:rPr>
          <w:rFonts w:ascii="Palatino Linotype" w:hAnsi="Palatino Linotype"/>
          <w:sz w:val="22"/>
        </w:rPr>
        <w:t xml:space="preserve"> é a que melhor explica os resultados para o Brasil e México , já para as companhias Chilenas, além da </w:t>
      </w:r>
      <w:r w:rsidRPr="008C31A8">
        <w:rPr>
          <w:rFonts w:ascii="Palatino Linotype" w:hAnsi="Palatino Linotype"/>
          <w:i/>
          <w:sz w:val="22"/>
        </w:rPr>
        <w:t>Pecking Order Theory</w:t>
      </w:r>
      <w:r w:rsidRPr="00E4187D">
        <w:rPr>
          <w:rFonts w:ascii="Palatino Linotype" w:hAnsi="Palatino Linotype"/>
          <w:sz w:val="22"/>
        </w:rPr>
        <w:t xml:space="preserve">, a </w:t>
      </w:r>
      <w:r w:rsidRPr="008C31A8">
        <w:rPr>
          <w:rFonts w:ascii="Palatino Linotype" w:hAnsi="Palatino Linotype"/>
          <w:i/>
          <w:sz w:val="22"/>
        </w:rPr>
        <w:t>Trade Off Theory</w:t>
      </w:r>
      <w:r w:rsidRPr="00E4187D">
        <w:rPr>
          <w:rFonts w:ascii="Palatino Linotype" w:hAnsi="Palatino Linotype"/>
          <w:sz w:val="22"/>
        </w:rPr>
        <w:t xml:space="preserve"> exerce forte influência sobre a estrutura de capital das companhias. Em outro estudo, Correa, Basso e Nakamura (2013) sugerem que a teoria do </w:t>
      </w:r>
      <w:r w:rsidRPr="008C31A8">
        <w:rPr>
          <w:rFonts w:ascii="Palatino Linotype" w:hAnsi="Palatino Linotype"/>
          <w:i/>
          <w:sz w:val="22"/>
        </w:rPr>
        <w:t>Pecking Order</w:t>
      </w:r>
      <w:r w:rsidRPr="00E4187D">
        <w:rPr>
          <w:rFonts w:ascii="Palatino Linotype" w:hAnsi="Palatino Linotype"/>
          <w:sz w:val="22"/>
        </w:rPr>
        <w:t xml:space="preserve"> é mais consistente do que a teoria do </w:t>
      </w:r>
      <w:r w:rsidRPr="008C31A8">
        <w:rPr>
          <w:rFonts w:ascii="Palatino Linotype" w:hAnsi="Palatino Linotype"/>
          <w:i/>
          <w:sz w:val="22"/>
        </w:rPr>
        <w:t>Trade Off</w:t>
      </w:r>
      <w:r w:rsidRPr="00E4187D">
        <w:rPr>
          <w:rFonts w:ascii="Palatino Linotype" w:hAnsi="Palatino Linotype"/>
          <w:sz w:val="22"/>
        </w:rPr>
        <w:t xml:space="preserve"> para explicar a forma de financiamento adotada pelas companhias abertas brasileiras.</w:t>
      </w:r>
    </w:p>
    <w:p w14:paraId="3424A1E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França et al. (2016) por sua vez, ao discutirem resultados de pesquisa sobre formas de financiamento do setor de energia elétrica no Brasil, evidenciaram que tais empresas são </w:t>
      </w:r>
      <w:r w:rsidRPr="00E4187D">
        <w:rPr>
          <w:rFonts w:ascii="Palatino Linotype" w:hAnsi="Palatino Linotype"/>
          <w:sz w:val="22"/>
        </w:rPr>
        <w:lastRenderedPageBreak/>
        <w:t xml:space="preserve">preponderantemente financiadas por capital próprio, seguindo a </w:t>
      </w:r>
      <w:r w:rsidR="008C31A8">
        <w:rPr>
          <w:rFonts w:ascii="Palatino Linotype" w:hAnsi="Palatino Linotype"/>
          <w:sz w:val="22"/>
        </w:rPr>
        <w:t xml:space="preserve">ideias da </w:t>
      </w:r>
      <w:r w:rsidRPr="008C31A8">
        <w:rPr>
          <w:rFonts w:ascii="Palatino Linotype" w:hAnsi="Palatino Linotype"/>
          <w:i/>
          <w:sz w:val="22"/>
        </w:rPr>
        <w:t>Pecking Order Theory</w:t>
      </w:r>
      <w:r w:rsidRPr="00E4187D">
        <w:rPr>
          <w:rFonts w:ascii="Palatino Linotype" w:hAnsi="Palatino Linotype"/>
          <w:sz w:val="22"/>
        </w:rPr>
        <w:t>.</w:t>
      </w:r>
    </w:p>
    <w:p w14:paraId="3424A1EC" w14:textId="77777777" w:rsidR="00005715" w:rsidRPr="00E4187D" w:rsidRDefault="008C31A8" w:rsidP="00E4187D">
      <w:pPr>
        <w:rPr>
          <w:rFonts w:ascii="Palatino Linotype" w:hAnsi="Palatino Linotype"/>
          <w:sz w:val="22"/>
        </w:rPr>
      </w:pPr>
      <w:r>
        <w:rPr>
          <w:rFonts w:ascii="Palatino Linotype" w:hAnsi="Palatino Linotype"/>
          <w:sz w:val="22"/>
        </w:rPr>
        <w:t>Entretanto, a</w:t>
      </w:r>
      <w:r w:rsidR="00005715" w:rsidRPr="00E4187D">
        <w:rPr>
          <w:rFonts w:ascii="Palatino Linotype" w:hAnsi="Palatino Linotype"/>
          <w:sz w:val="22"/>
        </w:rPr>
        <w:t xml:space="preserve"> pesquisa de Kaveski et al (2015) mostrou que mais de uma teoria pode apoiar o entendimento da forma de financiamento adotada pelas companhias. Nesse sentido, os autores, ao analisarem determinantes de estrutura de capital das empresas brasileiras de capital aberto, de um único setor financeiro à luz das teorias </w:t>
      </w:r>
      <w:r w:rsidR="00005715" w:rsidRPr="008C31A8">
        <w:rPr>
          <w:rFonts w:ascii="Palatino Linotype" w:hAnsi="Palatino Linotype"/>
          <w:i/>
          <w:sz w:val="22"/>
        </w:rPr>
        <w:t>Trade off</w:t>
      </w:r>
      <w:r w:rsidR="00005715" w:rsidRPr="00E4187D">
        <w:rPr>
          <w:rFonts w:ascii="Palatino Linotype" w:hAnsi="Palatino Linotype"/>
          <w:sz w:val="22"/>
        </w:rPr>
        <w:t xml:space="preserve"> e </w:t>
      </w:r>
      <w:r w:rsidR="00005715" w:rsidRPr="008C31A8">
        <w:rPr>
          <w:rFonts w:ascii="Palatino Linotype" w:hAnsi="Palatino Linotype"/>
          <w:i/>
          <w:sz w:val="22"/>
        </w:rPr>
        <w:t>Pecking Order</w:t>
      </w:r>
      <w:r w:rsidR="00005715" w:rsidRPr="00E4187D">
        <w:rPr>
          <w:rFonts w:ascii="Palatino Linotype" w:hAnsi="Palatino Linotype"/>
          <w:sz w:val="22"/>
        </w:rPr>
        <w:t xml:space="preserve">, concluíram que as empresas brasileiras do agronegócio estão apoiadas tanto na teoria do </w:t>
      </w:r>
      <w:r w:rsidR="00005715" w:rsidRPr="008C31A8">
        <w:rPr>
          <w:rFonts w:ascii="Palatino Linotype" w:hAnsi="Palatino Linotype"/>
          <w:i/>
          <w:sz w:val="22"/>
        </w:rPr>
        <w:t>Trade Off</w:t>
      </w:r>
      <w:r w:rsidR="00005715" w:rsidRPr="00E4187D">
        <w:rPr>
          <w:rFonts w:ascii="Palatino Linotype" w:hAnsi="Palatino Linotype"/>
          <w:sz w:val="22"/>
        </w:rPr>
        <w:t xml:space="preserve"> quanto na </w:t>
      </w:r>
      <w:r w:rsidR="00005715" w:rsidRPr="008C31A8">
        <w:rPr>
          <w:rFonts w:ascii="Palatino Linotype" w:hAnsi="Palatino Linotype"/>
          <w:i/>
          <w:sz w:val="22"/>
        </w:rPr>
        <w:t>Pecking Order</w:t>
      </w:r>
      <w:r w:rsidR="00005715" w:rsidRPr="00E4187D">
        <w:rPr>
          <w:rFonts w:ascii="Palatino Linotype" w:hAnsi="Palatino Linotype"/>
          <w:sz w:val="22"/>
        </w:rPr>
        <w:t>.</w:t>
      </w:r>
    </w:p>
    <w:p w14:paraId="3424A1ED"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entanto, Iquiapaza, Amaral e Araújo (2008) encontraram resultados diferentes dos estudos já mencionados, pois</w:t>
      </w:r>
      <w:r w:rsidR="008C31A8">
        <w:rPr>
          <w:rFonts w:ascii="Palatino Linotype" w:hAnsi="Palatino Linotype"/>
          <w:sz w:val="22"/>
        </w:rPr>
        <w:t>,</w:t>
      </w:r>
      <w:r w:rsidRPr="00E4187D">
        <w:rPr>
          <w:rFonts w:ascii="Palatino Linotype" w:hAnsi="Palatino Linotype"/>
          <w:sz w:val="22"/>
        </w:rPr>
        <w:t xml:space="preserve"> ao investigarem dados de 313 empresas listadas na BM&amp;FBovespa, indicaram que unicamente as empresas de menor tamanho da amostra</w:t>
      </w:r>
      <w:r w:rsidR="008C31A8">
        <w:rPr>
          <w:rFonts w:ascii="Palatino Linotype" w:hAnsi="Palatino Linotype"/>
          <w:sz w:val="22"/>
        </w:rPr>
        <w:t>,</w:t>
      </w:r>
      <w:r w:rsidRPr="00E4187D">
        <w:rPr>
          <w:rFonts w:ascii="Palatino Linotype" w:hAnsi="Palatino Linotype"/>
          <w:sz w:val="22"/>
        </w:rPr>
        <w:t xml:space="preserve"> as de menor lucratividade e</w:t>
      </w:r>
      <w:r w:rsidR="008C31A8">
        <w:rPr>
          <w:rFonts w:ascii="Palatino Linotype" w:hAnsi="Palatino Linotype"/>
          <w:sz w:val="22"/>
        </w:rPr>
        <w:t xml:space="preserve"> as de</w:t>
      </w:r>
      <w:r w:rsidRPr="00E4187D">
        <w:rPr>
          <w:rFonts w:ascii="Palatino Linotype" w:hAnsi="Palatino Linotype"/>
          <w:sz w:val="22"/>
        </w:rPr>
        <w:t xml:space="preserve"> baixo crescimento, apresentam aderência considerada “fraca” às previsões da </w:t>
      </w:r>
      <w:r w:rsidRPr="008C31A8">
        <w:rPr>
          <w:rFonts w:ascii="Palatino Linotype" w:hAnsi="Palatino Linotype"/>
          <w:i/>
          <w:sz w:val="22"/>
        </w:rPr>
        <w:t>Pecking Order Theory</w:t>
      </w:r>
      <w:r w:rsidRPr="00E4187D">
        <w:rPr>
          <w:rFonts w:ascii="Palatino Linotype" w:hAnsi="Palatino Linotype"/>
          <w:sz w:val="22"/>
        </w:rPr>
        <w:t>, logo, para os autores, a teoria não pode ser considerada uma teoria geral para explicar a estrutura de capital das empresas.</w:t>
      </w:r>
    </w:p>
    <w:p w14:paraId="3424A1EE" w14:textId="77777777" w:rsidR="00005715" w:rsidRPr="00E4187D" w:rsidRDefault="00005715" w:rsidP="00E4187D">
      <w:pPr>
        <w:rPr>
          <w:rFonts w:ascii="Palatino Linotype" w:hAnsi="Palatino Linotype"/>
          <w:sz w:val="22"/>
        </w:rPr>
      </w:pPr>
    </w:p>
    <w:p w14:paraId="3424A1EF" w14:textId="77777777" w:rsidR="00005715" w:rsidRPr="008C31A8" w:rsidRDefault="00005715" w:rsidP="008C31A8">
      <w:pPr>
        <w:pStyle w:val="PargrafodaLista"/>
        <w:numPr>
          <w:ilvl w:val="2"/>
          <w:numId w:val="23"/>
        </w:numPr>
        <w:rPr>
          <w:rFonts w:ascii="Palatino Linotype" w:hAnsi="Palatino Linotype"/>
          <w:b/>
          <w:i/>
          <w:sz w:val="22"/>
        </w:rPr>
      </w:pPr>
      <w:r w:rsidRPr="008C31A8">
        <w:rPr>
          <w:rFonts w:ascii="Palatino Linotype" w:hAnsi="Palatino Linotype"/>
          <w:b/>
          <w:i/>
          <w:sz w:val="22"/>
        </w:rPr>
        <w:t>Trade Off Theory</w:t>
      </w:r>
    </w:p>
    <w:p w14:paraId="3424A1F0" w14:textId="1FE20DC3" w:rsidR="00005715" w:rsidRPr="00E4187D" w:rsidRDefault="00005715" w:rsidP="00A27999">
      <w:pPr>
        <w:ind w:firstLine="708"/>
        <w:rPr>
          <w:rFonts w:ascii="Palatino Linotype" w:hAnsi="Palatino Linotype"/>
          <w:sz w:val="22"/>
        </w:rPr>
      </w:pPr>
      <w:r w:rsidRPr="00E4187D">
        <w:rPr>
          <w:rFonts w:ascii="Palatino Linotype" w:hAnsi="Palatino Linotype"/>
          <w:sz w:val="22"/>
        </w:rPr>
        <w:t xml:space="preserve">Ao contrário da </w:t>
      </w:r>
      <w:r w:rsidRPr="00A27999">
        <w:rPr>
          <w:rFonts w:ascii="Palatino Linotype" w:hAnsi="Palatino Linotype"/>
          <w:i/>
          <w:sz w:val="22"/>
        </w:rPr>
        <w:t>Pecking Order Theory</w:t>
      </w:r>
      <w:r w:rsidRPr="00E4187D">
        <w:rPr>
          <w:rFonts w:ascii="Palatino Linotype" w:hAnsi="Palatino Linotype"/>
          <w:sz w:val="22"/>
        </w:rPr>
        <w:t xml:space="preserve">, a teoria </w:t>
      </w:r>
      <w:r w:rsidRPr="00A27999">
        <w:rPr>
          <w:rFonts w:ascii="Palatino Linotype" w:hAnsi="Palatino Linotype"/>
          <w:i/>
          <w:sz w:val="22"/>
        </w:rPr>
        <w:t>Trade Off</w:t>
      </w:r>
      <w:r w:rsidRPr="00E4187D">
        <w:rPr>
          <w:rFonts w:ascii="Palatino Linotype" w:hAnsi="Palatino Linotype"/>
          <w:sz w:val="22"/>
        </w:rPr>
        <w:t xml:space="preserve"> discute a existência de uma estrutura de capital ótima. De acordo com Leite, Gonçalves e Silva (2014), esta corrente teórica preconiza que as organizações devem buscar uma estrutura de capital que maximize os benefícios e minimize os custos de endividamento. Conforme Medeiros e Daher (2005)</w:t>
      </w:r>
      <w:r w:rsidR="0024452C">
        <w:rPr>
          <w:rFonts w:ascii="Palatino Linotype" w:hAnsi="Palatino Linotype"/>
          <w:sz w:val="22"/>
        </w:rPr>
        <w:t>,</w:t>
      </w:r>
      <w:r w:rsidRPr="00E4187D">
        <w:rPr>
          <w:rFonts w:ascii="Palatino Linotype" w:hAnsi="Palatino Linotype"/>
          <w:sz w:val="22"/>
        </w:rPr>
        <w:t xml:space="preserve"> se supõem que a empresa estabelece uma meta de endividamento e procura alcança-la ao longo do tempo.  </w:t>
      </w:r>
    </w:p>
    <w:p w14:paraId="3424A1F1" w14:textId="77777777" w:rsidR="00A27999" w:rsidRDefault="00005715" w:rsidP="00E4187D">
      <w:pPr>
        <w:rPr>
          <w:rFonts w:ascii="Palatino Linotype" w:hAnsi="Palatino Linotype"/>
          <w:sz w:val="22"/>
        </w:rPr>
      </w:pPr>
      <w:r w:rsidRPr="00E4187D">
        <w:rPr>
          <w:rFonts w:ascii="Palatino Linotype" w:hAnsi="Palatino Linotype"/>
          <w:sz w:val="22"/>
        </w:rPr>
        <w:t xml:space="preserve">Para Myers (1984) a estrutura de capital ótima é atingida quando o equilíbrio dos efeitos que os impostos auferem sobre dívidas, custos de falência, ocorre em relação </w:t>
      </w:r>
      <w:r w:rsidR="00A27999" w:rsidRPr="00E4187D">
        <w:rPr>
          <w:rFonts w:ascii="Palatino Linotype" w:hAnsi="Palatino Linotype"/>
          <w:sz w:val="22"/>
        </w:rPr>
        <w:t>à</w:t>
      </w:r>
      <w:r w:rsidRPr="00E4187D">
        <w:rPr>
          <w:rFonts w:ascii="Palatino Linotype" w:hAnsi="Palatino Linotype"/>
          <w:sz w:val="22"/>
        </w:rPr>
        <w:t xml:space="preserve"> alavancagem. Neste contexto, Kaveski et al. (2015) discorre que, a empresa aumenta o endividamento até o momento em que o benefício fiscal relacionado às dívidas for compensado, por meio da elevação do valor presente do custo das dificuldades financeiras encontradas. </w:t>
      </w:r>
    </w:p>
    <w:p w14:paraId="3424A1F2"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 Brito e Lima (2005) discorrem que, como as firmas efetivamente combinam dívida e recursos próprios em sua estrutura de capital, se desenvolveu a teoria de </w:t>
      </w:r>
      <w:r w:rsidRPr="00A27999">
        <w:rPr>
          <w:rFonts w:ascii="Palatino Linotype" w:hAnsi="Palatino Linotype"/>
          <w:i/>
          <w:sz w:val="22"/>
        </w:rPr>
        <w:t>Trade Off</w:t>
      </w:r>
      <w:r w:rsidRPr="00E4187D">
        <w:rPr>
          <w:rFonts w:ascii="Palatino Linotype" w:hAnsi="Palatino Linotype"/>
          <w:sz w:val="22"/>
        </w:rPr>
        <w:t xml:space="preserve"> do endividamento, onde a alavancagem ótima é o resultado da ponderação entre seus custos e benefícios.</w:t>
      </w:r>
    </w:p>
    <w:p w14:paraId="3424A1F3" w14:textId="77777777" w:rsidR="00005715" w:rsidRPr="00E4187D" w:rsidRDefault="00005715" w:rsidP="00E4187D">
      <w:pPr>
        <w:rPr>
          <w:rFonts w:ascii="Palatino Linotype" w:hAnsi="Palatino Linotype"/>
          <w:sz w:val="22"/>
        </w:rPr>
      </w:pPr>
      <w:r w:rsidRPr="00E4187D">
        <w:rPr>
          <w:rFonts w:ascii="Palatino Linotype" w:hAnsi="Palatino Linotype"/>
          <w:sz w:val="22"/>
        </w:rPr>
        <w:t>Myers (1984) discorre que as empresas que elevarem seu endividamento também elevam o seu valor, entretanto, ao se elevar o endividamento, os custos de dificuldades financeiras também aumentam.</w:t>
      </w:r>
    </w:p>
    <w:p w14:paraId="3424A1F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No Brasil, a ênfase dos estudos está relacionada mais á </w:t>
      </w:r>
      <w:r w:rsidRPr="00A27999">
        <w:rPr>
          <w:rFonts w:ascii="Palatino Linotype" w:hAnsi="Palatino Linotype"/>
          <w:i/>
          <w:sz w:val="22"/>
        </w:rPr>
        <w:t>Pecking Order Theory</w:t>
      </w:r>
      <w:r w:rsidRPr="00E4187D">
        <w:rPr>
          <w:rFonts w:ascii="Palatino Linotype" w:hAnsi="Palatino Linotype"/>
          <w:sz w:val="22"/>
        </w:rPr>
        <w:t xml:space="preserve"> do que a do </w:t>
      </w:r>
      <w:r w:rsidRPr="00A27999">
        <w:rPr>
          <w:rFonts w:ascii="Palatino Linotype" w:hAnsi="Palatino Linotype"/>
          <w:i/>
          <w:sz w:val="22"/>
        </w:rPr>
        <w:t>Trade Off Theory</w:t>
      </w:r>
      <w:r w:rsidRPr="00E4187D">
        <w:rPr>
          <w:rFonts w:ascii="Palatino Linotype" w:hAnsi="Palatino Linotype"/>
          <w:sz w:val="22"/>
        </w:rPr>
        <w:t xml:space="preserve">, pois, muitos resultados (Bastos &amp; Nakamura, 2009; Correa, Basso &amp; Nakamura, 2013), apontam maior consistência da referida teoria do que a </w:t>
      </w:r>
      <w:r w:rsidRPr="00A27999">
        <w:rPr>
          <w:rFonts w:ascii="Palatino Linotype" w:hAnsi="Palatino Linotype"/>
          <w:i/>
          <w:sz w:val="22"/>
        </w:rPr>
        <w:t>Trade off</w:t>
      </w:r>
      <w:r w:rsidRPr="00E4187D">
        <w:rPr>
          <w:rFonts w:ascii="Palatino Linotype" w:hAnsi="Palatino Linotype"/>
          <w:sz w:val="22"/>
        </w:rPr>
        <w:t xml:space="preserve"> para explicar as formas que as companhias brasileiras buscam para financiar seu crescimento.  </w:t>
      </w:r>
    </w:p>
    <w:p w14:paraId="3424A1F6" w14:textId="6A24EBDB" w:rsidR="00005715" w:rsidRPr="00E4187D" w:rsidRDefault="00005715" w:rsidP="00E4187D">
      <w:pPr>
        <w:rPr>
          <w:rFonts w:ascii="Palatino Linotype" w:hAnsi="Palatino Linotype"/>
          <w:color w:val="FF0000"/>
          <w:sz w:val="22"/>
        </w:rPr>
      </w:pPr>
      <w:r w:rsidRPr="00A27999">
        <w:rPr>
          <w:rFonts w:ascii="Palatino Linotype" w:hAnsi="Palatino Linotype"/>
          <w:sz w:val="22"/>
        </w:rPr>
        <w:t>Entretanto, outros estudos apresentaram resultados que se apoiam na referida teoria. Padilha, Michels e Silva (2015), por exemplo, verificaram as determinantes de estrutura de capital das empresas de alta tecnologia dos países do G-20, c</w:t>
      </w:r>
      <w:r w:rsidR="00A27999" w:rsidRPr="00A27999">
        <w:rPr>
          <w:rFonts w:ascii="Palatino Linotype" w:hAnsi="Palatino Linotype"/>
          <w:sz w:val="22"/>
        </w:rPr>
        <w:t>ompreendendo o período de 2010 à</w:t>
      </w:r>
      <w:r w:rsidRPr="00A27999">
        <w:rPr>
          <w:rFonts w:ascii="Palatino Linotype" w:hAnsi="Palatino Linotype"/>
          <w:sz w:val="22"/>
        </w:rPr>
        <w:t xml:space="preserve"> 2013, os resultados mostraram que as determinantes de estrutura de capital das empresas estudadas são: rentabilidade, tangibilidade e crescimento, o estudo reitera que as empresas analisadas do setor de alta tecnologia estão apoiadas na teoria do </w:t>
      </w:r>
      <w:r w:rsidRPr="00A27999">
        <w:rPr>
          <w:rFonts w:ascii="Palatino Linotype" w:hAnsi="Palatino Linotype"/>
          <w:i/>
          <w:sz w:val="22"/>
        </w:rPr>
        <w:t>Trade off</w:t>
      </w:r>
      <w:r w:rsidRPr="00A27999">
        <w:rPr>
          <w:rFonts w:ascii="Palatino Linotype" w:hAnsi="Palatino Linotype"/>
          <w:sz w:val="22"/>
        </w:rPr>
        <w:t xml:space="preserve"> em função de sua estrutura de capital. </w:t>
      </w:r>
    </w:p>
    <w:p w14:paraId="3424A1F7" w14:textId="77777777" w:rsidR="00005715" w:rsidRPr="00A27999" w:rsidRDefault="00A27999" w:rsidP="00A27999">
      <w:pPr>
        <w:ind w:firstLine="0"/>
        <w:rPr>
          <w:rFonts w:ascii="Palatino Linotype" w:hAnsi="Palatino Linotype"/>
          <w:b/>
          <w:sz w:val="22"/>
        </w:rPr>
      </w:pPr>
      <w:r>
        <w:rPr>
          <w:rFonts w:ascii="Palatino Linotype" w:hAnsi="Palatino Linotype"/>
          <w:b/>
          <w:sz w:val="22"/>
        </w:rPr>
        <w:lastRenderedPageBreak/>
        <w:t xml:space="preserve">3 </w:t>
      </w:r>
      <w:r w:rsidR="00005715" w:rsidRPr="00A27999">
        <w:rPr>
          <w:rFonts w:ascii="Palatino Linotype" w:hAnsi="Palatino Linotype"/>
          <w:b/>
          <w:sz w:val="22"/>
        </w:rPr>
        <w:t xml:space="preserve">PROCEDIMENTOS METODOLÓGICOS </w:t>
      </w:r>
    </w:p>
    <w:p w14:paraId="3424A1F8" w14:textId="77777777" w:rsidR="00005715" w:rsidRDefault="00005715" w:rsidP="00A27999">
      <w:pPr>
        <w:ind w:firstLine="708"/>
        <w:rPr>
          <w:rFonts w:ascii="Palatino Linotype" w:hAnsi="Palatino Linotype"/>
          <w:sz w:val="22"/>
        </w:rPr>
      </w:pPr>
      <w:r w:rsidRPr="00E4187D">
        <w:rPr>
          <w:rFonts w:ascii="Palatino Linotype" w:hAnsi="Palatino Linotype"/>
          <w:sz w:val="22"/>
        </w:rPr>
        <w:t xml:space="preserve">Este </w:t>
      </w:r>
      <w:r w:rsidR="004361E3" w:rsidRPr="00E4187D">
        <w:rPr>
          <w:rFonts w:ascii="Palatino Linotype" w:hAnsi="Palatino Linotype"/>
          <w:sz w:val="22"/>
        </w:rPr>
        <w:t>estudo</w:t>
      </w:r>
      <w:r w:rsidRPr="00E4187D">
        <w:rPr>
          <w:rFonts w:ascii="Palatino Linotype" w:hAnsi="Palatino Linotype"/>
          <w:sz w:val="22"/>
        </w:rPr>
        <w:t xml:space="preserve"> </w:t>
      </w:r>
      <w:r w:rsidR="004361E3" w:rsidRPr="00E4187D">
        <w:rPr>
          <w:rFonts w:ascii="Palatino Linotype" w:hAnsi="Palatino Linotype"/>
          <w:sz w:val="22"/>
        </w:rPr>
        <w:t>teve</w:t>
      </w:r>
      <w:r w:rsidRPr="00E4187D">
        <w:rPr>
          <w:rFonts w:ascii="Palatino Linotype" w:hAnsi="Palatino Linotype"/>
          <w:sz w:val="22"/>
        </w:rPr>
        <w:t xml:space="preserve"> por objetivo principal </w:t>
      </w:r>
      <w:r w:rsidR="002B1D3F">
        <w:rPr>
          <w:rFonts w:ascii="Palatino Linotype" w:hAnsi="Palatino Linotype"/>
          <w:sz w:val="22"/>
        </w:rPr>
        <w:t>investigar</w:t>
      </w:r>
      <w:r w:rsidRPr="00E4187D">
        <w:rPr>
          <w:rFonts w:ascii="Palatino Linotype" w:hAnsi="Palatino Linotype"/>
          <w:sz w:val="22"/>
        </w:rPr>
        <w:t xml:space="preserve"> a forma de financiamento </w:t>
      </w:r>
      <w:r w:rsidR="00A27999">
        <w:rPr>
          <w:rFonts w:ascii="Palatino Linotype" w:hAnsi="Palatino Linotype"/>
          <w:sz w:val="22"/>
        </w:rPr>
        <w:t>das</w:t>
      </w:r>
      <w:r w:rsidRPr="00E4187D">
        <w:rPr>
          <w:rFonts w:ascii="Palatino Linotype" w:hAnsi="Palatino Linotype"/>
          <w:sz w:val="22"/>
        </w:rPr>
        <w:t xml:space="preserve"> c</w:t>
      </w:r>
      <w:r w:rsidR="00A27999">
        <w:rPr>
          <w:rFonts w:ascii="Palatino Linotype" w:hAnsi="Palatino Linotype"/>
          <w:sz w:val="22"/>
        </w:rPr>
        <w:t>ompanhias brasileiras de capital aberto</w:t>
      </w:r>
      <w:r w:rsidRPr="00E4187D">
        <w:rPr>
          <w:rFonts w:ascii="Palatino Linotype" w:hAnsi="Palatino Linotype"/>
          <w:sz w:val="22"/>
        </w:rPr>
        <w:t xml:space="preserve"> listadas na BM&amp;FBovespa compreendendo os anos de 2005 </w:t>
      </w:r>
      <w:r w:rsidR="00A27999">
        <w:rPr>
          <w:rFonts w:ascii="Palatino Linotype" w:hAnsi="Palatino Linotype"/>
          <w:sz w:val="22"/>
        </w:rPr>
        <w:t>à</w:t>
      </w:r>
      <w:r w:rsidRPr="00E4187D">
        <w:rPr>
          <w:rFonts w:ascii="Palatino Linotype" w:hAnsi="Palatino Linotype"/>
          <w:sz w:val="22"/>
        </w:rPr>
        <w:t xml:space="preserve"> 2015. Para o alcance deste objetivo, foi utilizado </w:t>
      </w:r>
      <w:r w:rsidR="005512E6">
        <w:rPr>
          <w:rFonts w:ascii="Palatino Linotype" w:hAnsi="Palatino Linotype"/>
          <w:sz w:val="22"/>
        </w:rPr>
        <w:t xml:space="preserve">a metodologia </w:t>
      </w:r>
      <w:r w:rsidRPr="00E4187D">
        <w:rPr>
          <w:rFonts w:ascii="Palatino Linotype" w:hAnsi="Palatino Linotype"/>
          <w:sz w:val="22"/>
        </w:rPr>
        <w:t>propost</w:t>
      </w:r>
      <w:r w:rsidR="005512E6">
        <w:rPr>
          <w:rFonts w:ascii="Palatino Linotype" w:hAnsi="Palatino Linotype"/>
          <w:sz w:val="22"/>
        </w:rPr>
        <w:t>a</w:t>
      </w:r>
      <w:r w:rsidRPr="00E4187D">
        <w:rPr>
          <w:rFonts w:ascii="Palatino Linotype" w:hAnsi="Palatino Linotype"/>
          <w:sz w:val="22"/>
        </w:rPr>
        <w:t xml:space="preserve"> por Singh e Hamid (1992). </w:t>
      </w:r>
    </w:p>
    <w:p w14:paraId="3424A1F9" w14:textId="77777777" w:rsidR="007C5237" w:rsidRDefault="005512E6" w:rsidP="007C5237">
      <w:pPr>
        <w:rPr>
          <w:rFonts w:ascii="Palatino Linotype" w:hAnsi="Palatino Linotype"/>
          <w:sz w:val="22"/>
        </w:rPr>
      </w:pPr>
      <w:r w:rsidRPr="007C5237">
        <w:rPr>
          <w:rFonts w:ascii="Palatino Linotype" w:hAnsi="Palatino Linotype"/>
          <w:sz w:val="22"/>
        </w:rPr>
        <w:t xml:space="preserve">A </w:t>
      </w:r>
      <w:r w:rsidR="007C5237" w:rsidRPr="007C5237">
        <w:rPr>
          <w:rFonts w:ascii="Palatino Linotype" w:hAnsi="Palatino Linotype"/>
          <w:sz w:val="22"/>
        </w:rPr>
        <w:t xml:space="preserve">metodologia proposta por Singh e Hamid (1992) foi escolhida para tratamento dos dados da amostra, pois, está consegue analisar através de dados como: ativo total, passivo total, dividendos pagos e lucro líquido, a forma em que as companhias financiam seus investimentos. </w:t>
      </w:r>
      <w:r w:rsidR="007E2C42" w:rsidRPr="007C5237">
        <w:rPr>
          <w:rFonts w:ascii="Palatino Linotype" w:hAnsi="Palatino Linotype"/>
          <w:sz w:val="22"/>
        </w:rPr>
        <w:t>Por este modelo, o crescimento da firma é medido</w:t>
      </w:r>
      <w:r w:rsidR="007E2C42" w:rsidRPr="00E4187D">
        <w:rPr>
          <w:rFonts w:ascii="Palatino Linotype" w:hAnsi="Palatino Linotype"/>
          <w:sz w:val="22"/>
        </w:rPr>
        <w:t xml:space="preserve"> pela variação do capital de longo prazo, obtido através da diferença entre o total do ativo e o passivo de curto prazo (Moreira &amp; Puga, 2000). </w:t>
      </w:r>
    </w:p>
    <w:p w14:paraId="3424A1FA" w14:textId="77777777" w:rsidR="00D05EC4" w:rsidRDefault="00E238DA" w:rsidP="00E4187D">
      <w:pPr>
        <w:rPr>
          <w:rFonts w:ascii="Palatino Linotype" w:hAnsi="Palatino Linotype"/>
          <w:sz w:val="22"/>
        </w:rPr>
      </w:pPr>
      <w:r>
        <w:rPr>
          <w:rFonts w:ascii="Palatino Linotype" w:hAnsi="Palatino Linotype"/>
          <w:sz w:val="22"/>
        </w:rPr>
        <w:t>Est</w:t>
      </w:r>
      <w:r w:rsidR="007E2C42" w:rsidRPr="00E4187D">
        <w:rPr>
          <w:rFonts w:ascii="Palatino Linotype" w:hAnsi="Palatino Linotype"/>
          <w:sz w:val="22"/>
        </w:rPr>
        <w:t>e crescimento é decomposto em três partes</w:t>
      </w:r>
      <w:r w:rsidR="005512E6">
        <w:rPr>
          <w:rFonts w:ascii="Palatino Linotype" w:hAnsi="Palatino Linotype"/>
          <w:sz w:val="22"/>
        </w:rPr>
        <w:t xml:space="preserve"> (autofinanciamento, financiamento</w:t>
      </w:r>
      <w:r w:rsidR="00765A5F">
        <w:rPr>
          <w:rFonts w:ascii="Palatino Linotype" w:hAnsi="Palatino Linotype"/>
          <w:sz w:val="22"/>
        </w:rPr>
        <w:t xml:space="preserve"> </w:t>
      </w:r>
      <w:r w:rsidR="00DB34B8">
        <w:rPr>
          <w:rFonts w:ascii="Palatino Linotype" w:hAnsi="Palatino Linotype"/>
          <w:sz w:val="22"/>
        </w:rPr>
        <w:t>externo</w:t>
      </w:r>
      <w:r w:rsidR="005512E6">
        <w:rPr>
          <w:rFonts w:ascii="Palatino Linotype" w:hAnsi="Palatino Linotype"/>
          <w:sz w:val="22"/>
        </w:rPr>
        <w:t xml:space="preserve"> por endividamento, e financiamento</w:t>
      </w:r>
      <w:r w:rsidR="00DB34B8">
        <w:rPr>
          <w:rFonts w:ascii="Palatino Linotype" w:hAnsi="Palatino Linotype"/>
          <w:sz w:val="22"/>
        </w:rPr>
        <w:t xml:space="preserve"> externo</w:t>
      </w:r>
      <w:r w:rsidR="005512E6">
        <w:rPr>
          <w:rFonts w:ascii="Palatino Linotype" w:hAnsi="Palatino Linotype"/>
          <w:sz w:val="22"/>
        </w:rPr>
        <w:t xml:space="preserve"> por emissão de ações)</w:t>
      </w:r>
      <w:r w:rsidR="007E2C42" w:rsidRPr="00E4187D">
        <w:rPr>
          <w:rFonts w:ascii="Palatino Linotype" w:hAnsi="Palatino Linotype"/>
          <w:sz w:val="22"/>
        </w:rPr>
        <w:t xml:space="preserve">, sempre se trabalhando com médias para os conjuntos de </w:t>
      </w:r>
      <w:r w:rsidR="00765A5F">
        <w:rPr>
          <w:rFonts w:ascii="Palatino Linotype" w:hAnsi="Palatino Linotype"/>
          <w:sz w:val="22"/>
        </w:rPr>
        <w:t>companhias</w:t>
      </w:r>
      <w:r w:rsidR="007E2C42" w:rsidRPr="00E4187D">
        <w:rPr>
          <w:rFonts w:ascii="Palatino Linotype" w:hAnsi="Palatino Linotype"/>
          <w:sz w:val="22"/>
        </w:rPr>
        <w:t xml:space="preserve"> analisadas.</w:t>
      </w:r>
      <w:r w:rsidR="00D05EC4">
        <w:rPr>
          <w:rFonts w:ascii="Palatino Linotype" w:hAnsi="Palatino Linotype"/>
          <w:sz w:val="22"/>
        </w:rPr>
        <w:t xml:space="preserve"> Estudos anteriores como os</w:t>
      </w:r>
      <w:r w:rsidR="00005715" w:rsidRPr="00E4187D">
        <w:rPr>
          <w:rFonts w:ascii="Palatino Linotype" w:hAnsi="Palatino Linotype"/>
          <w:sz w:val="22"/>
        </w:rPr>
        <w:t xml:space="preserve"> realizados por Zoneschain (1998) e Moreira e Puga (2000) testaram </w:t>
      </w:r>
      <w:r w:rsidR="00D05EC4">
        <w:rPr>
          <w:rFonts w:ascii="Palatino Linotype" w:hAnsi="Palatino Linotype"/>
          <w:sz w:val="22"/>
        </w:rPr>
        <w:t xml:space="preserve">este </w:t>
      </w:r>
      <w:r w:rsidR="0046682E">
        <w:rPr>
          <w:rFonts w:ascii="Palatino Linotype" w:hAnsi="Palatino Linotype"/>
          <w:sz w:val="22"/>
        </w:rPr>
        <w:t>grupo de variável da</w:t>
      </w:r>
      <w:r w:rsidR="00005715" w:rsidRPr="00E4187D">
        <w:rPr>
          <w:rFonts w:ascii="Palatino Linotype" w:hAnsi="Palatino Linotype"/>
          <w:sz w:val="22"/>
        </w:rPr>
        <w:t xml:space="preserve"> </w:t>
      </w:r>
      <w:r w:rsidR="0046682E">
        <w:rPr>
          <w:rFonts w:ascii="Palatino Linotype" w:hAnsi="Palatino Linotype"/>
          <w:sz w:val="22"/>
        </w:rPr>
        <w:t>meto</w:t>
      </w:r>
      <w:r w:rsidR="00DF1BC3">
        <w:rPr>
          <w:rFonts w:ascii="Palatino Linotype" w:hAnsi="Palatino Linotype"/>
          <w:sz w:val="22"/>
        </w:rPr>
        <w:t>do</w:t>
      </w:r>
      <w:r w:rsidR="0046682E">
        <w:rPr>
          <w:rFonts w:ascii="Palatino Linotype" w:hAnsi="Palatino Linotype"/>
          <w:sz w:val="22"/>
        </w:rPr>
        <w:t>logia proposta</w:t>
      </w:r>
      <w:r w:rsidR="00005715" w:rsidRPr="00E4187D">
        <w:rPr>
          <w:rFonts w:ascii="Palatino Linotype" w:hAnsi="Palatino Linotype"/>
          <w:sz w:val="22"/>
        </w:rPr>
        <w:t xml:space="preserve"> por Singh e Hamid (1992). </w:t>
      </w:r>
    </w:p>
    <w:p w14:paraId="3424A1F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Zoneschain (1998), </w:t>
      </w:r>
      <w:r w:rsidR="00D05EC4">
        <w:rPr>
          <w:rFonts w:ascii="Palatino Linotype" w:hAnsi="Palatino Linotype"/>
          <w:sz w:val="22"/>
        </w:rPr>
        <w:t>este</w:t>
      </w:r>
      <w:r w:rsidRPr="00E4187D">
        <w:rPr>
          <w:rFonts w:ascii="Palatino Linotype" w:hAnsi="Palatino Linotype"/>
          <w:sz w:val="22"/>
        </w:rPr>
        <w:t xml:space="preserve"> gr</w:t>
      </w:r>
      <w:r w:rsidR="00D05EC4">
        <w:rPr>
          <w:rFonts w:ascii="Palatino Linotype" w:hAnsi="Palatino Linotype"/>
          <w:sz w:val="22"/>
        </w:rPr>
        <w:t>upo de variáveis</w:t>
      </w:r>
      <w:r w:rsidR="007B0574" w:rsidRPr="00E4187D">
        <w:rPr>
          <w:rFonts w:ascii="Palatino Linotype" w:hAnsi="Palatino Linotype"/>
          <w:sz w:val="22"/>
        </w:rPr>
        <w:t xml:space="preserve"> estudado</w:t>
      </w:r>
      <w:r w:rsidR="00D05EC4">
        <w:rPr>
          <w:rFonts w:ascii="Palatino Linotype" w:hAnsi="Palatino Linotype"/>
          <w:sz w:val="22"/>
        </w:rPr>
        <w:t>,</w:t>
      </w:r>
      <w:r w:rsidR="007B0574" w:rsidRPr="00E4187D">
        <w:rPr>
          <w:rFonts w:ascii="Palatino Linotype" w:hAnsi="Palatino Linotype"/>
          <w:sz w:val="22"/>
        </w:rPr>
        <w:t xml:space="preserve"> analisou</w:t>
      </w:r>
      <w:r w:rsidRPr="00E4187D">
        <w:rPr>
          <w:rFonts w:ascii="Palatino Linotype" w:hAnsi="Palatino Linotype"/>
          <w:sz w:val="22"/>
        </w:rPr>
        <w:t xml:space="preserve"> a forma de financiamento dos investimentos </w:t>
      </w:r>
      <w:r w:rsidR="00E238DA">
        <w:rPr>
          <w:rFonts w:ascii="Palatino Linotype" w:hAnsi="Palatino Linotype"/>
          <w:sz w:val="22"/>
        </w:rPr>
        <w:t xml:space="preserve">adotados </w:t>
      </w:r>
      <w:r w:rsidRPr="00E4187D">
        <w:rPr>
          <w:rFonts w:ascii="Palatino Linotype" w:hAnsi="Palatino Linotype"/>
          <w:sz w:val="22"/>
        </w:rPr>
        <w:t xml:space="preserve">pelas </w:t>
      </w:r>
      <w:r w:rsidR="00BC2AF0">
        <w:rPr>
          <w:rFonts w:ascii="Palatino Linotype" w:hAnsi="Palatino Linotype"/>
          <w:sz w:val="22"/>
        </w:rPr>
        <w:t>companhias</w:t>
      </w:r>
      <w:r w:rsidR="00D05EC4">
        <w:rPr>
          <w:rFonts w:ascii="Palatino Linotype" w:hAnsi="Palatino Linotype"/>
          <w:sz w:val="22"/>
        </w:rPr>
        <w:t>, logo</w:t>
      </w:r>
      <w:r w:rsidR="0046682E">
        <w:rPr>
          <w:rFonts w:ascii="Palatino Linotype" w:hAnsi="Palatino Linotype"/>
          <w:sz w:val="22"/>
        </w:rPr>
        <w:t>,</w:t>
      </w:r>
      <w:r w:rsidR="00D05EC4">
        <w:rPr>
          <w:rFonts w:ascii="Palatino Linotype" w:hAnsi="Palatino Linotype"/>
          <w:sz w:val="22"/>
        </w:rPr>
        <w:t xml:space="preserve"> está metodologia </w:t>
      </w:r>
      <w:r w:rsidR="00DF1BC3">
        <w:rPr>
          <w:rFonts w:ascii="Palatino Linotype" w:hAnsi="Palatino Linotype"/>
          <w:sz w:val="22"/>
        </w:rPr>
        <w:t xml:space="preserve">auxiliou a </w:t>
      </w:r>
      <w:r w:rsidR="00D05EC4">
        <w:rPr>
          <w:rFonts w:ascii="Palatino Linotype" w:hAnsi="Palatino Linotype"/>
          <w:sz w:val="22"/>
        </w:rPr>
        <w:t>atin</w:t>
      </w:r>
      <w:r w:rsidR="00DF1BC3">
        <w:rPr>
          <w:rFonts w:ascii="Palatino Linotype" w:hAnsi="Palatino Linotype"/>
          <w:sz w:val="22"/>
        </w:rPr>
        <w:t>gir</w:t>
      </w:r>
      <w:r w:rsidR="00D05EC4">
        <w:rPr>
          <w:rFonts w:ascii="Palatino Linotype" w:hAnsi="Palatino Linotype"/>
          <w:sz w:val="22"/>
        </w:rPr>
        <w:t xml:space="preserve"> o objetivo desta pesquisa</w:t>
      </w:r>
      <w:r w:rsidRPr="00E4187D">
        <w:rPr>
          <w:rFonts w:ascii="Palatino Linotype" w:hAnsi="Palatino Linotype"/>
          <w:sz w:val="22"/>
        </w:rPr>
        <w:t xml:space="preserve">. De caráter informacional, os outros grupos que fazem parte do modelo são: tamanho da firma e medida de </w:t>
      </w:r>
      <w:r w:rsidRPr="001352FE">
        <w:rPr>
          <w:rFonts w:ascii="Palatino Linotype" w:hAnsi="Palatino Linotype"/>
          <w:i/>
          <w:sz w:val="22"/>
        </w:rPr>
        <w:t>performance</w:t>
      </w:r>
      <w:r w:rsidRPr="00E4187D">
        <w:rPr>
          <w:rFonts w:ascii="Palatino Linotype" w:hAnsi="Palatino Linotype"/>
          <w:sz w:val="22"/>
        </w:rPr>
        <w:t xml:space="preserve">; estrutura de capital, e comportamento dos preços no mercado acionário e do retorno de dividendos. </w:t>
      </w:r>
    </w:p>
    <w:p w14:paraId="3424A1FC"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como Zoneschain (1998) e Moreira e Puga (2000), </w:t>
      </w:r>
      <w:r w:rsidR="001352FE">
        <w:rPr>
          <w:rFonts w:ascii="Palatino Linotype" w:hAnsi="Palatino Linotype"/>
          <w:sz w:val="22"/>
        </w:rPr>
        <w:t>foi adotado nesta pesquisa</w:t>
      </w:r>
      <w:r w:rsidRPr="00E4187D">
        <w:rPr>
          <w:rFonts w:ascii="Palatino Linotype" w:hAnsi="Palatino Linotype"/>
          <w:sz w:val="22"/>
        </w:rPr>
        <w:t xml:space="preserve"> apenas o grupo de variável que analisa a forma de financiamento das companhias. Essa adoção justifica-se em virtude da abrangência da amostra, no qual, se limita a uma quantidade inferior devido às inconsistências entre os dados das companhias (painel desbalanceado).</w:t>
      </w:r>
    </w:p>
    <w:p w14:paraId="3424A1FD" w14:textId="77777777" w:rsidR="00056C04" w:rsidRDefault="0018089C" w:rsidP="00056C04">
      <w:pPr>
        <w:rPr>
          <w:rFonts w:ascii="Palatino Linotype" w:hAnsi="Palatino Linotype"/>
          <w:sz w:val="22"/>
        </w:rPr>
      </w:pPr>
      <w:r>
        <w:rPr>
          <w:rFonts w:ascii="Palatino Linotype" w:hAnsi="Palatino Linotype"/>
          <w:sz w:val="22"/>
        </w:rPr>
        <w:t xml:space="preserve">A seguir, destacam-se as fórmulas desenvolvidas por </w:t>
      </w:r>
      <w:r w:rsidRPr="007C5237">
        <w:rPr>
          <w:rFonts w:ascii="Palatino Linotype" w:hAnsi="Palatino Linotype"/>
          <w:sz w:val="22"/>
        </w:rPr>
        <w:t xml:space="preserve">Singh e Hamid (1992) </w:t>
      </w:r>
      <w:r w:rsidR="00005715" w:rsidRPr="00E4187D">
        <w:rPr>
          <w:rFonts w:ascii="Palatino Linotype" w:hAnsi="Palatino Linotype"/>
          <w:sz w:val="22"/>
        </w:rPr>
        <w:t>para o cálculo dos três indicadores da forma de financiamento das companhias.</w:t>
      </w:r>
      <w:r w:rsidR="00056C04">
        <w:rPr>
          <w:rFonts w:ascii="Palatino Linotype" w:hAnsi="Palatino Linotype"/>
          <w:sz w:val="22"/>
        </w:rPr>
        <w:t xml:space="preserve"> </w:t>
      </w:r>
      <w:r>
        <w:rPr>
          <w:rFonts w:ascii="Palatino Linotype" w:hAnsi="Palatino Linotype"/>
          <w:sz w:val="22"/>
        </w:rPr>
        <w:t xml:space="preserve">Ressalta-se que para o tratamento dos dados, se fez uso </w:t>
      </w:r>
      <w:r w:rsidR="00056C04">
        <w:rPr>
          <w:rFonts w:ascii="Palatino Linotype" w:hAnsi="Palatino Linotype"/>
          <w:sz w:val="22"/>
        </w:rPr>
        <w:t>do software Microsoft EXCEL.</w:t>
      </w:r>
    </w:p>
    <w:p w14:paraId="603B45CD" w14:textId="77777777" w:rsidR="00503154" w:rsidRPr="00503154" w:rsidRDefault="00503154" w:rsidP="00503154">
      <w:pPr>
        <w:pStyle w:val="PargrafodaLista"/>
        <w:ind w:firstLine="0"/>
        <w:rPr>
          <w:rFonts w:ascii="Palatino Linotype" w:hAnsi="Palatino Linotype"/>
          <w:sz w:val="22"/>
        </w:rPr>
      </w:pPr>
    </w:p>
    <w:p w14:paraId="3424A1FF" w14:textId="500162E2" w:rsidR="00005715" w:rsidRPr="00C435DF" w:rsidRDefault="00005715" w:rsidP="00C435DF">
      <w:pPr>
        <w:pStyle w:val="PargrafodaLista"/>
        <w:numPr>
          <w:ilvl w:val="0"/>
          <w:numId w:val="26"/>
        </w:numPr>
        <w:rPr>
          <w:rFonts w:ascii="Palatino Linotype" w:hAnsi="Palatino Linotype"/>
          <w:sz w:val="22"/>
        </w:rPr>
      </w:pPr>
      <w:r w:rsidRPr="00C435DF">
        <w:rPr>
          <w:rFonts w:ascii="Palatino Linotype" w:hAnsi="Palatino Linotype"/>
          <w:b/>
          <w:sz w:val="22"/>
        </w:rPr>
        <w:t>Financiamento Interno</w:t>
      </w:r>
      <w:r w:rsidRPr="00C435DF">
        <w:rPr>
          <w:rFonts w:ascii="Palatino Linotype" w:hAnsi="Palatino Linotype"/>
          <w:sz w:val="22"/>
        </w:rPr>
        <w:t>: representa a parcela que é financiada com recursos internos, através de lucros retidos. Calculado pelo somatório da diferença entre lucros líquidos e dividendos pagos, e, dividida pelo somatório da variação das diferenças entre ativo total e o passivo circulante.</w:t>
      </w:r>
    </w:p>
    <w:p w14:paraId="4D95724C" w14:textId="77777777" w:rsidR="00503154" w:rsidRPr="00503154" w:rsidRDefault="00503154" w:rsidP="00E4187D">
      <w:pPr>
        <w:rPr>
          <w:rFonts w:ascii="Palatino Linotype" w:hAnsi="Palatino Linotype"/>
          <w:sz w:val="22"/>
        </w:rPr>
      </w:pPr>
    </w:p>
    <w:p w14:paraId="5D6C9058" w14:textId="77777777" w:rsidR="00503154" w:rsidRDefault="00745B64" w:rsidP="00503154">
      <w:pPr>
        <w:pStyle w:val="PargrafodaLista"/>
        <w:ind w:left="0" w:firstLine="709"/>
        <w:jc w:val="center"/>
        <w:rPr>
          <w:rFonts w:ascii="Palatino Linotype" w:hAnsi="Palatino Linotype"/>
          <w:sz w:val="22"/>
          <w:szCs w:val="22"/>
        </w:rPr>
      </w:pPr>
      <m:oMathPara>
        <m:oMath>
          <m:f>
            <m:fPr>
              <m:ctrlPr>
                <w:rPr>
                  <w:rFonts w:ascii="Cambria Math" w:hAnsi="Cambria Math"/>
                  <w:i/>
                  <w:sz w:val="22"/>
                  <w:szCs w:val="22"/>
                </w:rPr>
              </m:ctrlPr>
            </m:fPr>
            <m:num>
              <m:nary>
                <m:naryPr>
                  <m:chr m:val="∑"/>
                  <m:limLoc m:val="undOvr"/>
                  <m:ctrlPr>
                    <w:rPr>
                      <w:rFonts w:ascii="Cambria Math" w:hAnsi="Cambria Math"/>
                      <w:i/>
                      <w:sz w:val="22"/>
                      <w:szCs w:val="22"/>
                    </w:rPr>
                  </m:ctrlPr>
                </m:naryPr>
                <m:sub>
                  <m:r>
                    <m:rPr>
                      <m:nor/>
                    </m:rPr>
                    <w:rPr>
                      <w:rFonts w:ascii="Palatino Linotype" w:hAnsi="Palatino Linotype"/>
                      <w:sz w:val="22"/>
                      <w:szCs w:val="22"/>
                    </w:rPr>
                    <m:t>p+1</m:t>
                  </m:r>
                </m:sub>
                <m:sup>
                  <m:r>
                    <m:rPr>
                      <m:nor/>
                    </m:rPr>
                    <w:rPr>
                      <w:rFonts w:ascii="Palatino Linotype" w:hAnsi="Palatino Linotype"/>
                      <w:sz w:val="22"/>
                      <w:szCs w:val="22"/>
                    </w:rPr>
                    <m:t>m</m:t>
                  </m:r>
                </m:sup>
                <m:e>
                  <m:d>
                    <m:dPr>
                      <m:ctrlPr>
                        <w:rPr>
                          <w:rFonts w:ascii="Cambria Math" w:hAnsi="Cambria Math"/>
                          <w:i/>
                          <w:sz w:val="22"/>
                          <w:szCs w:val="22"/>
                        </w:rPr>
                      </m:ctrlPr>
                    </m:dPr>
                    <m:e>
                      <m:r>
                        <m:rPr>
                          <m:nor/>
                        </m:rPr>
                        <w:rPr>
                          <w:rFonts w:ascii="Palatino Linotype" w:hAnsi="Palatino Linotype"/>
                          <w:sz w:val="22"/>
                          <w:szCs w:val="22"/>
                        </w:rPr>
                        <m:t>Lucro líquido-Dividendos pagos</m:t>
                      </m:r>
                    </m:e>
                  </m:d>
                </m:e>
              </m:nary>
            </m:num>
            <m:den>
              <m:nary>
                <m:naryPr>
                  <m:chr m:val="∑"/>
                  <m:limLoc m:val="undOvr"/>
                  <m:ctrlPr>
                    <w:rPr>
                      <w:rFonts w:ascii="Cambria Math" w:hAnsi="Cambria Math"/>
                      <w:i/>
                      <w:sz w:val="22"/>
                      <w:szCs w:val="22"/>
                    </w:rPr>
                  </m:ctrlPr>
                </m:naryPr>
                <m:sub>
                  <m:r>
                    <m:rPr>
                      <m:nor/>
                    </m:rPr>
                    <w:rPr>
                      <w:rFonts w:ascii="Palatino Linotype" w:hAnsi="Palatino Linotype"/>
                      <w:sz w:val="22"/>
                      <w:szCs w:val="22"/>
                    </w:rPr>
                    <m:t>p+1</m:t>
                  </m:r>
                </m:sub>
                <m:sup>
                  <m:r>
                    <m:rPr>
                      <m:nor/>
                    </m:rPr>
                    <w:rPr>
                      <w:rFonts w:ascii="Palatino Linotype" w:hAnsi="Palatino Linotype"/>
                      <w:sz w:val="22"/>
                      <w:szCs w:val="22"/>
                    </w:rPr>
                    <m:t>m</m:t>
                  </m:r>
                </m:sup>
                <m:e>
                  <m:r>
                    <m:rPr>
                      <m:nor/>
                    </m:rPr>
                    <w:rPr>
                      <w:rFonts w:ascii="Palatino Linotype" w:hAnsi="Palatino Linotype"/>
                      <w:sz w:val="22"/>
                      <w:szCs w:val="22"/>
                    </w:rPr>
                    <m:t>∆</m:t>
                  </m:r>
                  <m:d>
                    <m:dPr>
                      <m:ctrlPr>
                        <w:rPr>
                          <w:rFonts w:ascii="Cambria Math" w:hAnsi="Cambria Math"/>
                          <w:i/>
                          <w:sz w:val="22"/>
                          <w:szCs w:val="22"/>
                        </w:rPr>
                      </m:ctrlPr>
                    </m:dPr>
                    <m:e>
                      <m:r>
                        <m:rPr>
                          <m:nor/>
                        </m:rPr>
                        <w:rPr>
                          <w:rFonts w:ascii="Palatino Linotype" w:hAnsi="Palatino Linotype"/>
                          <w:sz w:val="22"/>
                          <w:szCs w:val="22"/>
                        </w:rPr>
                        <m:t>Ativo total-Passivo Circulante</m:t>
                      </m:r>
                    </m:e>
                  </m:d>
                </m:e>
              </m:nary>
            </m:den>
          </m:f>
          <m:r>
            <m:rPr>
              <m:sty m:val="p"/>
            </m:rPr>
            <w:rPr>
              <w:rFonts w:ascii="Cambria Math" w:hAnsi="Cambria Math"/>
              <w:sz w:val="22"/>
              <w:szCs w:val="22"/>
            </w:rPr>
            <w:br/>
          </m:r>
        </m:oMath>
      </m:oMathPara>
    </w:p>
    <w:p w14:paraId="3424A207" w14:textId="443C6E9F" w:rsidR="00005715" w:rsidRPr="00E4187D" w:rsidRDefault="00005715" w:rsidP="00503154">
      <w:pPr>
        <w:pStyle w:val="PargrafodaLista"/>
        <w:ind w:left="0" w:firstLine="709"/>
        <w:jc w:val="center"/>
        <w:rPr>
          <w:rFonts w:ascii="Palatino Linotype" w:hAnsi="Palatino Linotype"/>
          <w:sz w:val="22"/>
          <w:szCs w:val="22"/>
        </w:rPr>
      </w:pPr>
      <w:r w:rsidRPr="00E4187D">
        <w:rPr>
          <w:rFonts w:ascii="Palatino Linotype" w:hAnsi="Palatino Linotype"/>
          <w:sz w:val="22"/>
          <w:szCs w:val="22"/>
        </w:rPr>
        <w:t>Onde: m=último ano do período; p=primeiro ano do período.</w:t>
      </w:r>
    </w:p>
    <w:p w14:paraId="64E24E26" w14:textId="77777777" w:rsidR="00503154" w:rsidRPr="00503154" w:rsidRDefault="00503154" w:rsidP="00503154">
      <w:pPr>
        <w:pStyle w:val="PargrafodaLista"/>
        <w:ind w:firstLine="0"/>
        <w:rPr>
          <w:rFonts w:ascii="Palatino Linotype" w:hAnsi="Palatino Linotype"/>
          <w:sz w:val="22"/>
        </w:rPr>
      </w:pPr>
    </w:p>
    <w:p w14:paraId="3424A209" w14:textId="66FBC3AE" w:rsidR="00005715" w:rsidRDefault="00005715" w:rsidP="00885DD6">
      <w:pPr>
        <w:pStyle w:val="PargrafodaLista"/>
        <w:numPr>
          <w:ilvl w:val="0"/>
          <w:numId w:val="26"/>
        </w:numPr>
        <w:rPr>
          <w:rFonts w:ascii="Palatino Linotype" w:hAnsi="Palatino Linotype"/>
          <w:sz w:val="22"/>
        </w:rPr>
      </w:pPr>
      <w:r w:rsidRPr="00885DD6">
        <w:rPr>
          <w:rFonts w:ascii="Palatino Linotype" w:hAnsi="Palatino Linotype"/>
          <w:b/>
          <w:sz w:val="22"/>
        </w:rPr>
        <w:t>Financiamento Externo através de Emissão de Dívida</w:t>
      </w:r>
      <w:r w:rsidRPr="00885DD6">
        <w:rPr>
          <w:rFonts w:ascii="Palatino Linotype" w:hAnsi="Palatino Linotype"/>
          <w:sz w:val="22"/>
        </w:rPr>
        <w:t>: calculado pelo somatório da diferença entre o exigível de longo prazo, e, dividida pelo somatório da variação das diferenças entre ativo total e o passivo circulante.</w:t>
      </w:r>
    </w:p>
    <w:p w14:paraId="638EEA7C" w14:textId="77777777" w:rsidR="00503154" w:rsidRPr="00503154" w:rsidRDefault="00503154" w:rsidP="00503154">
      <w:pPr>
        <w:rPr>
          <w:rFonts w:ascii="Palatino Linotype" w:hAnsi="Palatino Linotype"/>
          <w:sz w:val="22"/>
        </w:rPr>
      </w:pPr>
    </w:p>
    <w:p w14:paraId="3424A20C" w14:textId="2E9B2573" w:rsidR="001352FE" w:rsidRPr="00503154" w:rsidRDefault="00745B64" w:rsidP="00E4187D">
      <w:pPr>
        <w:rPr>
          <w:rFonts w:ascii="Palatino Linotype" w:hAnsi="Palatino Linotype"/>
          <w:sz w:val="22"/>
        </w:rPr>
      </w:pPr>
      <m:oMathPara>
        <m:oMath>
          <m:f>
            <m:fPr>
              <m:ctrlPr>
                <w:rPr>
                  <w:rFonts w:ascii="Cambria Math" w:hAnsi="Cambria Math"/>
                  <w:i/>
                  <w:sz w:val="22"/>
                </w:rPr>
              </m:ctrlPr>
            </m:fPr>
            <m:num>
              <m:nary>
                <m:naryPr>
                  <m:chr m:val="∑"/>
                  <m:limLoc m:val="undOvr"/>
                  <m:ctrlPr>
                    <w:rPr>
                      <w:rFonts w:ascii="Cambria Math" w:hAnsi="Cambria Math"/>
                      <w:i/>
                      <w:sz w:val="22"/>
                    </w:rPr>
                  </m:ctrlPr>
                </m:naryPr>
                <m:sub>
                  <m:r>
                    <m:rPr>
                      <m:nor/>
                    </m:rPr>
                    <w:rPr>
                      <w:rFonts w:ascii="Palatino Linotype" w:hAnsi="Palatino Linotype"/>
                      <w:sz w:val="22"/>
                    </w:rPr>
                    <m:t>p+1</m:t>
                  </m:r>
                </m:sub>
                <m:sup>
                  <m:r>
                    <m:rPr>
                      <m:nor/>
                    </m:rPr>
                    <w:rPr>
                      <w:rFonts w:ascii="Palatino Linotype" w:hAnsi="Palatino Linotype"/>
                      <w:sz w:val="22"/>
                    </w:rPr>
                    <m:t>m</m:t>
                  </m:r>
                </m:sup>
                <m:e>
                  <m:r>
                    <m:rPr>
                      <m:nor/>
                    </m:rPr>
                    <w:rPr>
                      <w:rFonts w:ascii="Palatino Linotype" w:hAnsi="Palatino Linotype"/>
                      <w:sz w:val="22"/>
                    </w:rPr>
                    <m:t>∆</m:t>
                  </m:r>
                  <m:d>
                    <m:dPr>
                      <m:ctrlPr>
                        <w:rPr>
                          <w:rFonts w:ascii="Cambria Math" w:hAnsi="Cambria Math"/>
                          <w:i/>
                          <w:sz w:val="22"/>
                        </w:rPr>
                      </m:ctrlPr>
                    </m:dPr>
                    <m:e>
                      <m:r>
                        <m:rPr>
                          <m:nor/>
                        </m:rPr>
                        <w:rPr>
                          <w:rFonts w:ascii="Palatino Linotype" w:hAnsi="Palatino Linotype"/>
                          <w:sz w:val="22"/>
                        </w:rPr>
                        <m:t>Exigível a longo prazo</m:t>
                      </m:r>
                    </m:e>
                  </m:d>
                </m:e>
              </m:nary>
            </m:num>
            <m:den>
              <m:nary>
                <m:naryPr>
                  <m:chr m:val="∑"/>
                  <m:limLoc m:val="undOvr"/>
                  <m:ctrlPr>
                    <w:rPr>
                      <w:rFonts w:ascii="Cambria Math" w:hAnsi="Cambria Math"/>
                      <w:i/>
                      <w:sz w:val="22"/>
                    </w:rPr>
                  </m:ctrlPr>
                </m:naryPr>
                <m:sub>
                  <m:r>
                    <m:rPr>
                      <m:nor/>
                    </m:rPr>
                    <w:rPr>
                      <w:rFonts w:ascii="Palatino Linotype" w:hAnsi="Palatino Linotype"/>
                      <w:sz w:val="22"/>
                    </w:rPr>
                    <m:t>p+1</m:t>
                  </m:r>
                </m:sub>
                <m:sup>
                  <m:r>
                    <m:rPr>
                      <m:nor/>
                    </m:rPr>
                    <w:rPr>
                      <w:rFonts w:ascii="Palatino Linotype" w:hAnsi="Palatino Linotype"/>
                      <w:sz w:val="22"/>
                    </w:rPr>
                    <m:t>m</m:t>
                  </m:r>
                </m:sup>
                <m:e>
                  <m:r>
                    <m:rPr>
                      <m:nor/>
                    </m:rPr>
                    <w:rPr>
                      <w:rFonts w:ascii="Palatino Linotype" w:hAnsi="Palatino Linotype"/>
                      <w:sz w:val="22"/>
                    </w:rPr>
                    <m:t>∆</m:t>
                  </m:r>
                  <m:d>
                    <m:dPr>
                      <m:ctrlPr>
                        <w:rPr>
                          <w:rFonts w:ascii="Cambria Math" w:hAnsi="Cambria Math"/>
                          <w:i/>
                          <w:sz w:val="22"/>
                        </w:rPr>
                      </m:ctrlPr>
                    </m:dPr>
                    <m:e>
                      <m:r>
                        <m:rPr>
                          <m:nor/>
                        </m:rPr>
                        <w:rPr>
                          <w:rFonts w:ascii="Palatino Linotype" w:hAnsi="Palatino Linotype"/>
                          <w:sz w:val="22"/>
                        </w:rPr>
                        <m:t>Ativo total-Passivo Circulante</m:t>
                      </m:r>
                    </m:e>
                  </m:d>
                </m:e>
              </m:nary>
            </m:den>
          </m:f>
        </m:oMath>
      </m:oMathPara>
    </w:p>
    <w:p w14:paraId="3424A20D" w14:textId="77777777" w:rsidR="001352FE" w:rsidRDefault="001352FE" w:rsidP="00E4187D">
      <w:pPr>
        <w:rPr>
          <w:rFonts w:ascii="Palatino Linotype" w:hAnsi="Palatino Linotype"/>
          <w:sz w:val="22"/>
        </w:rPr>
      </w:pPr>
    </w:p>
    <w:p w14:paraId="3424A211" w14:textId="77777777" w:rsidR="00005715" w:rsidRPr="00E4187D" w:rsidRDefault="00005715" w:rsidP="00885DD6">
      <w:pPr>
        <w:pStyle w:val="PargrafodaLista"/>
        <w:ind w:left="707" w:firstLine="709"/>
        <w:rPr>
          <w:rFonts w:ascii="Palatino Linotype" w:hAnsi="Palatino Linotype"/>
          <w:sz w:val="22"/>
          <w:szCs w:val="22"/>
        </w:rPr>
      </w:pPr>
      <w:r w:rsidRPr="00E4187D">
        <w:rPr>
          <w:rFonts w:ascii="Palatino Linotype" w:hAnsi="Palatino Linotype"/>
          <w:sz w:val="22"/>
          <w:szCs w:val="22"/>
        </w:rPr>
        <w:t>Onde: m=último ano do período; p=primeiro ano do período.</w:t>
      </w:r>
    </w:p>
    <w:p w14:paraId="3424A212" w14:textId="77777777" w:rsidR="00005715" w:rsidRPr="00E4187D" w:rsidRDefault="00005715" w:rsidP="00E4187D">
      <w:pPr>
        <w:pStyle w:val="PargrafodaLista"/>
        <w:ind w:left="1287" w:firstLine="709"/>
        <w:rPr>
          <w:rFonts w:ascii="Palatino Linotype" w:hAnsi="Palatino Linotype"/>
          <w:sz w:val="22"/>
          <w:szCs w:val="22"/>
        </w:rPr>
      </w:pPr>
    </w:p>
    <w:p w14:paraId="3424A213" w14:textId="77777777" w:rsidR="00A12287" w:rsidRPr="00E4187D" w:rsidRDefault="00005715" w:rsidP="00885DD6">
      <w:pPr>
        <w:pStyle w:val="PargrafodaLista"/>
        <w:numPr>
          <w:ilvl w:val="0"/>
          <w:numId w:val="26"/>
        </w:numPr>
        <w:rPr>
          <w:rFonts w:ascii="Palatino Linotype" w:hAnsi="Palatino Linotype"/>
          <w:sz w:val="22"/>
          <w:szCs w:val="22"/>
        </w:rPr>
      </w:pPr>
      <w:r w:rsidRPr="00E4187D">
        <w:rPr>
          <w:rFonts w:ascii="Palatino Linotype" w:hAnsi="Palatino Linotype"/>
          <w:b/>
          <w:sz w:val="22"/>
          <w:szCs w:val="22"/>
        </w:rPr>
        <w:t>Financiamento Externo através de Emissão de Ações</w:t>
      </w:r>
      <w:r w:rsidRPr="00E4187D">
        <w:rPr>
          <w:rFonts w:ascii="Palatino Linotype" w:hAnsi="Palatino Linotype"/>
          <w:sz w:val="22"/>
          <w:szCs w:val="22"/>
        </w:rPr>
        <w:t xml:space="preserve">: calculado por resíduo de financiamento interno deduzido do endividamento. </w:t>
      </w:r>
    </w:p>
    <w:p w14:paraId="45BA9D6B" w14:textId="77777777" w:rsidR="00734EB7" w:rsidRPr="00882282" w:rsidRDefault="00734EB7" w:rsidP="00734EB7">
      <w:pPr>
        <w:pStyle w:val="PargrafodaLista"/>
        <w:ind w:left="284" w:firstLine="0"/>
        <w:jc w:val="center"/>
        <w:rPr>
          <w:rFonts w:ascii="Palatino Linotype" w:hAnsi="Palatino Linotype"/>
          <w:noProof/>
          <w:lang w:eastAsia="pt-BR"/>
        </w:rPr>
      </w:pPr>
    </w:p>
    <w:p w14:paraId="3424A214" w14:textId="01BCB13A" w:rsidR="00A12287" w:rsidRPr="00E4187D" w:rsidRDefault="00A12287" w:rsidP="00734EB7">
      <w:pPr>
        <w:pStyle w:val="PargrafodaLista"/>
        <w:ind w:left="284" w:firstLine="0"/>
        <w:jc w:val="center"/>
        <w:rPr>
          <w:rFonts w:ascii="Palatino Linotype" w:hAnsi="Palatino Linotype"/>
          <w:sz w:val="22"/>
          <w:szCs w:val="22"/>
        </w:rPr>
      </w:pPr>
      <m:oMathPara>
        <m:oMath>
          <m:r>
            <m:rPr>
              <m:sty m:val="p"/>
            </m:rPr>
            <w:rPr>
              <w:rFonts w:ascii="Cambria Math" w:hAnsi="Cambria Math"/>
            </w:rPr>
            <m:t>1-</m:t>
          </m:r>
          <m:d>
            <m:dPr>
              <m:ctrlPr>
                <w:rPr>
                  <w:rFonts w:ascii="Cambria Math" w:hAnsi="Cambria Math"/>
                </w:rPr>
              </m:ctrlPr>
            </m:dPr>
            <m:e>
              <m:r>
                <m:rPr>
                  <m:sty m:val="p"/>
                </m:rPr>
                <w:rPr>
                  <w:rFonts w:ascii="Cambria Math" w:hAnsi="Cambria Math"/>
                </w:rPr>
                <m:t>Financiamento interno</m:t>
              </m:r>
            </m:e>
          </m:d>
          <m:r>
            <m:rPr>
              <m:sty m:val="p"/>
            </m:rPr>
            <w:rPr>
              <w:rFonts w:ascii="Cambria Math" w:hAnsi="Cambria Math"/>
            </w:rPr>
            <m:t>-(Endividamento</m:t>
          </m:r>
          <m:r>
            <w:rPr>
              <w:rFonts w:ascii="Cambria Math" w:hAnsi="Cambria Math"/>
            </w:rPr>
            <m:t>)</m:t>
          </m:r>
        </m:oMath>
      </m:oMathPara>
    </w:p>
    <w:p w14:paraId="3424A215" w14:textId="77777777" w:rsidR="003665D7" w:rsidRDefault="003665D7" w:rsidP="00E4187D">
      <w:pPr>
        <w:rPr>
          <w:rFonts w:ascii="Palatino Linotype" w:hAnsi="Palatino Linotype"/>
          <w:sz w:val="22"/>
        </w:rPr>
      </w:pPr>
    </w:p>
    <w:p w14:paraId="3424A216" w14:textId="17145638" w:rsidR="00005715" w:rsidRPr="00E4187D" w:rsidRDefault="00005715" w:rsidP="00E4187D">
      <w:pPr>
        <w:rPr>
          <w:rFonts w:ascii="Palatino Linotype" w:hAnsi="Palatino Linotype"/>
          <w:sz w:val="22"/>
        </w:rPr>
      </w:pPr>
      <w:r w:rsidRPr="00E4187D">
        <w:rPr>
          <w:rFonts w:ascii="Palatino Linotype" w:hAnsi="Palatino Linotype"/>
          <w:sz w:val="22"/>
        </w:rPr>
        <w:t>Como quesito do modelo, foi calculada a média móvel trienal para cada ano, e a média do período analisado</w:t>
      </w:r>
      <w:r w:rsidR="00056C04">
        <w:rPr>
          <w:rFonts w:ascii="Palatino Linotype" w:hAnsi="Palatino Linotype"/>
          <w:sz w:val="22"/>
        </w:rPr>
        <w:t xml:space="preserve"> (2005/2015)</w:t>
      </w:r>
      <w:r w:rsidRPr="00E4187D">
        <w:rPr>
          <w:rFonts w:ascii="Palatino Linotype" w:hAnsi="Palatino Linotype"/>
          <w:sz w:val="22"/>
        </w:rPr>
        <w:t xml:space="preserve">. A amostra </w:t>
      </w:r>
      <w:r w:rsidR="00F51320">
        <w:rPr>
          <w:rFonts w:ascii="Palatino Linotype" w:hAnsi="Palatino Linotype"/>
          <w:sz w:val="22"/>
        </w:rPr>
        <w:t xml:space="preserve">inicial </w:t>
      </w:r>
      <w:r w:rsidRPr="00E4187D">
        <w:rPr>
          <w:rFonts w:ascii="Palatino Linotype" w:hAnsi="Palatino Linotype"/>
          <w:sz w:val="22"/>
        </w:rPr>
        <w:t xml:space="preserve">constituiu-se de 374 companhias de capital aberto, da classe ON (Ações Ordinárias) de diversos setores negociadas na </w:t>
      </w:r>
      <w:r w:rsidRPr="00E11A80">
        <w:rPr>
          <w:rFonts w:ascii="Palatino Linotype" w:hAnsi="Palatino Linotype"/>
          <w:sz w:val="22"/>
        </w:rPr>
        <w:t>BM&amp;Fbovespa</w:t>
      </w:r>
      <w:r w:rsidRPr="00E4187D">
        <w:rPr>
          <w:rFonts w:ascii="Palatino Linotype" w:hAnsi="Palatino Linotype"/>
          <w:sz w:val="22"/>
        </w:rPr>
        <w:t>. Os dados trimestrais do ativo total, passivo total, dividendos pagos e lucro líquido foram retirados do banco de dados da Economática®, c</w:t>
      </w:r>
      <w:r w:rsidR="00056C04">
        <w:rPr>
          <w:rFonts w:ascii="Palatino Linotype" w:hAnsi="Palatino Linotype"/>
          <w:sz w:val="22"/>
        </w:rPr>
        <w:t xml:space="preserve">ompreendendo o período de 2005 </w:t>
      </w:r>
      <w:r w:rsidR="00734EB7">
        <w:rPr>
          <w:rFonts w:ascii="Palatino Linotype" w:hAnsi="Palatino Linotype"/>
          <w:sz w:val="22"/>
        </w:rPr>
        <w:t>a</w:t>
      </w:r>
      <w:r w:rsidRPr="00E4187D">
        <w:rPr>
          <w:rFonts w:ascii="Palatino Linotype" w:hAnsi="Palatino Linotype"/>
          <w:sz w:val="22"/>
        </w:rPr>
        <w:t xml:space="preserve"> 2015. </w:t>
      </w:r>
    </w:p>
    <w:p w14:paraId="3424A217"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 distribuição setorial das empresas deu-se da seguinte forma: Agro e pesca (5), alimentos e bebidas (14), comércio (19), </w:t>
      </w:r>
      <w:r w:rsidR="00EB151B" w:rsidRPr="00E4187D">
        <w:rPr>
          <w:rFonts w:ascii="Palatino Linotype" w:hAnsi="Palatino Linotype"/>
          <w:sz w:val="22"/>
        </w:rPr>
        <w:t>construção (22), eletrônicos</w:t>
      </w:r>
      <w:r w:rsidRPr="00E4187D">
        <w:rPr>
          <w:rFonts w:ascii="Palatino Linotype" w:hAnsi="Palatino Linotype"/>
          <w:sz w:val="22"/>
        </w:rPr>
        <w:t xml:space="preserve"> (6), energia elétrica (44), finanças e seguros (31), fundos (1), maquinas industriais (5), mineração (5), minerais não metais (4), papel e celulose (4), petróleo e gás (8), química (10), siderurgia e metal (21), software e dados (6), telecomunicações (12), têxtil (24), transporte e serviços (20), veículos e peças (16) e outros (97). Totalizando 21 setores de mercado.</w:t>
      </w:r>
    </w:p>
    <w:p w14:paraId="3424A218"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Além de serem eliminadas as </w:t>
      </w:r>
      <w:r w:rsidR="006401DC">
        <w:rPr>
          <w:rFonts w:ascii="Palatino Linotype" w:hAnsi="Palatino Linotype"/>
          <w:sz w:val="22"/>
        </w:rPr>
        <w:t>companhias</w:t>
      </w:r>
      <w:r w:rsidRPr="00E4187D">
        <w:rPr>
          <w:rFonts w:ascii="Palatino Linotype" w:hAnsi="Palatino Linotype"/>
          <w:sz w:val="22"/>
        </w:rPr>
        <w:t xml:space="preserve"> </w:t>
      </w:r>
      <w:r w:rsidR="00056C04">
        <w:rPr>
          <w:rFonts w:ascii="Palatino Linotype" w:hAnsi="Palatino Linotype"/>
          <w:sz w:val="22"/>
        </w:rPr>
        <w:t>em que não havia</w:t>
      </w:r>
      <w:r w:rsidR="00DB2592">
        <w:rPr>
          <w:rFonts w:ascii="Palatino Linotype" w:hAnsi="Palatino Linotype"/>
          <w:sz w:val="22"/>
        </w:rPr>
        <w:t>m</w:t>
      </w:r>
      <w:r w:rsidRPr="00E4187D">
        <w:rPr>
          <w:rFonts w:ascii="Palatino Linotype" w:hAnsi="Palatino Linotype"/>
          <w:sz w:val="22"/>
        </w:rPr>
        <w:t xml:space="preserve"> dados no painel, saldos nulos foram convertidos em vazio</w:t>
      </w:r>
      <w:r w:rsidR="00056C04">
        <w:rPr>
          <w:rFonts w:ascii="Palatino Linotype" w:hAnsi="Palatino Linotype"/>
          <w:sz w:val="22"/>
        </w:rPr>
        <w:t>s</w:t>
      </w:r>
      <w:r w:rsidRPr="00E4187D">
        <w:rPr>
          <w:rFonts w:ascii="Palatino Linotype" w:hAnsi="Palatino Linotype"/>
          <w:sz w:val="22"/>
        </w:rPr>
        <w:t xml:space="preserve">, foram utilizados dados referentes da classe ON (ações ordinárias) em função das demais classes apresentarem dados idênticos. </w:t>
      </w:r>
    </w:p>
    <w:p w14:paraId="3424A219" w14:textId="77777777" w:rsidR="00005715" w:rsidRPr="00E4187D" w:rsidRDefault="00056C04" w:rsidP="00E4187D">
      <w:pPr>
        <w:rPr>
          <w:rFonts w:ascii="Palatino Linotype" w:hAnsi="Palatino Linotype"/>
          <w:sz w:val="22"/>
        </w:rPr>
      </w:pPr>
      <w:r>
        <w:rPr>
          <w:rFonts w:ascii="Palatino Linotype" w:hAnsi="Palatino Linotype"/>
          <w:sz w:val="22"/>
        </w:rPr>
        <w:t xml:space="preserve">Foram adotados </w:t>
      </w:r>
      <w:r w:rsidR="00005715" w:rsidRPr="00E4187D">
        <w:rPr>
          <w:rFonts w:ascii="Palatino Linotype" w:hAnsi="Palatino Linotype"/>
          <w:sz w:val="22"/>
        </w:rPr>
        <w:t>critérios para garantir consistência dos resultados, assim, são propostos neste estudo os seguintes critérios para eliminação de dados.</w:t>
      </w:r>
    </w:p>
    <w:p w14:paraId="3424A21A" w14:textId="77777777" w:rsidR="00056C04" w:rsidRPr="00957FBE" w:rsidRDefault="00056C04" w:rsidP="00056C04">
      <w:pPr>
        <w:pStyle w:val="PargrafodaLista"/>
        <w:ind w:left="1287" w:firstLine="0"/>
        <w:rPr>
          <w:rFonts w:ascii="Palatino Linotype" w:hAnsi="Palatino Linotype"/>
          <w:sz w:val="22"/>
          <w:szCs w:val="22"/>
        </w:rPr>
      </w:pPr>
    </w:p>
    <w:p w14:paraId="3424A21B"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 xml:space="preserve">Para o autofinanciamento: Excluir os indicadores inferiores a -100% e superiores a +200%. </w:t>
      </w:r>
    </w:p>
    <w:p w14:paraId="3424A21C"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 xml:space="preserve">Para o endividamento: Excluir os indicadores inferiores a -100% e superiores a +200%. </w:t>
      </w:r>
    </w:p>
    <w:p w14:paraId="3424A21D"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Para a emissão de dívidas foram excluídos os indicadores inferiores a -100% e superiores a +100%.</w:t>
      </w:r>
    </w:p>
    <w:p w14:paraId="3424A21E" w14:textId="77777777" w:rsidR="00005715" w:rsidRPr="00E4187D" w:rsidRDefault="00005715" w:rsidP="00E4187D">
      <w:pPr>
        <w:pStyle w:val="PargrafodaLista"/>
        <w:ind w:left="1287" w:firstLine="709"/>
        <w:rPr>
          <w:rFonts w:ascii="Palatino Linotype" w:hAnsi="Palatino Linotype"/>
          <w:sz w:val="22"/>
          <w:szCs w:val="22"/>
        </w:rPr>
      </w:pPr>
    </w:p>
    <w:p w14:paraId="3424A21F" w14:textId="0848B612" w:rsidR="007B0574" w:rsidRPr="00E4187D" w:rsidRDefault="00005715" w:rsidP="00E4187D">
      <w:pPr>
        <w:rPr>
          <w:rFonts w:ascii="Palatino Linotype" w:hAnsi="Palatino Linotype"/>
          <w:sz w:val="22"/>
        </w:rPr>
      </w:pPr>
      <w:r w:rsidRPr="00E4187D">
        <w:rPr>
          <w:rFonts w:ascii="Palatino Linotype" w:hAnsi="Palatino Linotype"/>
          <w:sz w:val="22"/>
        </w:rPr>
        <w:t>Com base nesses critérios, o número de companhias com dados necessários para o propósito do estudo ficou inferior à amo</w:t>
      </w:r>
      <w:r w:rsidR="00056C04">
        <w:rPr>
          <w:rFonts w:ascii="Palatino Linotype" w:hAnsi="Palatino Linotype"/>
          <w:sz w:val="22"/>
        </w:rPr>
        <w:t xml:space="preserve">stra inicial. Ressalta-se que o tamanho da </w:t>
      </w:r>
      <w:r w:rsidRPr="00E4187D">
        <w:rPr>
          <w:rFonts w:ascii="Palatino Linotype" w:hAnsi="Palatino Linotype"/>
          <w:sz w:val="22"/>
        </w:rPr>
        <w:t xml:space="preserve">amostra foi </w:t>
      </w:r>
      <w:r w:rsidR="00056C04">
        <w:rPr>
          <w:rFonts w:ascii="Palatino Linotype" w:hAnsi="Palatino Linotype"/>
          <w:sz w:val="22"/>
        </w:rPr>
        <w:t>diminuindo</w:t>
      </w:r>
      <w:r w:rsidRPr="00E4187D">
        <w:rPr>
          <w:rFonts w:ascii="Palatino Linotype" w:hAnsi="Palatino Linotype"/>
          <w:sz w:val="22"/>
        </w:rPr>
        <w:t xml:space="preserve"> </w:t>
      </w:r>
      <w:r w:rsidR="00734EB7">
        <w:rPr>
          <w:rFonts w:ascii="Palatino Linotype" w:hAnsi="Palatino Linotype"/>
          <w:sz w:val="22"/>
        </w:rPr>
        <w:t>à</w:t>
      </w:r>
      <w:r w:rsidRPr="00E4187D">
        <w:rPr>
          <w:rFonts w:ascii="Palatino Linotype" w:hAnsi="Palatino Linotype"/>
          <w:sz w:val="22"/>
        </w:rPr>
        <w:t xml:space="preserve"> medida que foram </w:t>
      </w:r>
      <w:r w:rsidR="00056C04">
        <w:rPr>
          <w:rFonts w:ascii="Palatino Linotype" w:hAnsi="Palatino Linotype"/>
          <w:sz w:val="22"/>
        </w:rPr>
        <w:t xml:space="preserve">sendo </w:t>
      </w:r>
      <w:r w:rsidRPr="00E4187D">
        <w:rPr>
          <w:rFonts w:ascii="Palatino Linotype" w:hAnsi="Palatino Linotype"/>
          <w:sz w:val="22"/>
        </w:rPr>
        <w:t xml:space="preserve">realizados os critérios de consistência apresentados pela metodologia. Devido aos dados desbalanceados, a amostra </w:t>
      </w:r>
      <w:r w:rsidR="00D4434D">
        <w:rPr>
          <w:rFonts w:ascii="Palatino Linotype" w:hAnsi="Palatino Linotype"/>
          <w:sz w:val="22"/>
        </w:rPr>
        <w:t xml:space="preserve">final </w:t>
      </w:r>
      <w:r w:rsidRPr="00E4187D">
        <w:rPr>
          <w:rFonts w:ascii="Palatino Linotype" w:hAnsi="Palatino Linotype"/>
          <w:sz w:val="22"/>
        </w:rPr>
        <w:t>correspondeu a 12,03% da amostra inicial, ou seja, 45</w:t>
      </w:r>
      <w:r w:rsidR="00BB4FF9" w:rsidRPr="00E4187D">
        <w:rPr>
          <w:rFonts w:ascii="Palatino Linotype" w:hAnsi="Palatino Linotype"/>
          <w:sz w:val="22"/>
        </w:rPr>
        <w:t xml:space="preserve"> </w:t>
      </w:r>
      <w:r w:rsidRPr="00E4187D">
        <w:rPr>
          <w:rFonts w:ascii="Palatino Linotype" w:hAnsi="Palatino Linotype"/>
          <w:sz w:val="22"/>
        </w:rPr>
        <w:t>companhias</w:t>
      </w:r>
      <w:r w:rsidR="007B0574" w:rsidRPr="00E4187D">
        <w:rPr>
          <w:rFonts w:ascii="Palatino Linotype" w:hAnsi="Palatino Linotype"/>
          <w:sz w:val="22"/>
        </w:rPr>
        <w:t>.</w:t>
      </w:r>
    </w:p>
    <w:p w14:paraId="3424A220" w14:textId="77777777" w:rsidR="001D582C" w:rsidRPr="00E4187D" w:rsidRDefault="007B0574" w:rsidP="00E4187D">
      <w:pPr>
        <w:rPr>
          <w:rFonts w:ascii="Palatino Linotype" w:hAnsi="Palatino Linotype"/>
          <w:sz w:val="22"/>
        </w:rPr>
      </w:pPr>
      <w:r w:rsidRPr="00E4187D">
        <w:rPr>
          <w:rFonts w:ascii="Palatino Linotype" w:hAnsi="Palatino Linotype"/>
          <w:sz w:val="22"/>
        </w:rPr>
        <w:t xml:space="preserve">Após a aplicação dos critérios de consistência dos resultados, </w:t>
      </w:r>
      <w:r w:rsidR="001D582C" w:rsidRPr="00E4187D">
        <w:rPr>
          <w:rFonts w:ascii="Palatino Linotype" w:hAnsi="Palatino Linotype"/>
          <w:sz w:val="22"/>
        </w:rPr>
        <w:t>a quantidade d</w:t>
      </w:r>
      <w:r w:rsidRPr="00E4187D">
        <w:rPr>
          <w:rFonts w:ascii="Palatino Linotype" w:hAnsi="Palatino Linotype"/>
          <w:sz w:val="22"/>
        </w:rPr>
        <w:t>e setores</w:t>
      </w:r>
      <w:r w:rsidR="00056C04" w:rsidRPr="00E4187D">
        <w:rPr>
          <w:rFonts w:ascii="Palatino Linotype" w:hAnsi="Palatino Linotype"/>
          <w:sz w:val="22"/>
        </w:rPr>
        <w:t xml:space="preserve"> </w:t>
      </w:r>
      <w:r w:rsidR="001D582C" w:rsidRPr="00E4187D">
        <w:rPr>
          <w:rFonts w:ascii="Palatino Linotype" w:hAnsi="Palatino Linotype"/>
          <w:sz w:val="22"/>
        </w:rPr>
        <w:t xml:space="preserve">do mercado </w:t>
      </w:r>
      <w:r w:rsidRPr="00E4187D">
        <w:rPr>
          <w:rFonts w:ascii="Palatino Linotype" w:hAnsi="Palatino Linotype"/>
          <w:sz w:val="22"/>
        </w:rPr>
        <w:t xml:space="preserve">que consistia de 21 </w:t>
      </w:r>
      <w:r w:rsidR="001D582C" w:rsidRPr="00E4187D">
        <w:rPr>
          <w:rFonts w:ascii="Palatino Linotype" w:hAnsi="Palatino Linotype"/>
          <w:sz w:val="22"/>
        </w:rPr>
        <w:t>na amostra inicial passou para 1</w:t>
      </w:r>
      <w:r w:rsidR="007F2CF9" w:rsidRPr="00E4187D">
        <w:rPr>
          <w:rFonts w:ascii="Palatino Linotype" w:hAnsi="Palatino Linotype"/>
          <w:sz w:val="22"/>
        </w:rPr>
        <w:t>5</w:t>
      </w:r>
      <w:r w:rsidR="001D582C" w:rsidRPr="00E4187D">
        <w:rPr>
          <w:rFonts w:ascii="Palatino Linotype" w:hAnsi="Palatino Linotype"/>
          <w:sz w:val="22"/>
        </w:rPr>
        <w:t xml:space="preserve"> </w:t>
      </w:r>
      <w:r w:rsidRPr="00E4187D">
        <w:rPr>
          <w:rFonts w:ascii="Palatino Linotype" w:hAnsi="Palatino Linotype"/>
          <w:sz w:val="22"/>
        </w:rPr>
        <w:t xml:space="preserve">setores </w:t>
      </w:r>
      <w:r w:rsidR="001D582C" w:rsidRPr="00E4187D">
        <w:rPr>
          <w:rFonts w:ascii="Palatino Linotype" w:hAnsi="Palatino Linotype"/>
          <w:sz w:val="22"/>
        </w:rPr>
        <w:t>na amostra final</w:t>
      </w:r>
      <w:r w:rsidRPr="00E4187D">
        <w:rPr>
          <w:rFonts w:ascii="Palatino Linotype" w:hAnsi="Palatino Linotype"/>
          <w:sz w:val="22"/>
        </w:rPr>
        <w:t xml:space="preserve">. </w:t>
      </w:r>
      <w:r w:rsidR="001D582C" w:rsidRPr="00E4187D">
        <w:rPr>
          <w:rFonts w:ascii="Palatino Linotype" w:hAnsi="Palatino Linotype"/>
          <w:sz w:val="22"/>
        </w:rPr>
        <w:t>Logo os segmentos que restaram foram</w:t>
      </w:r>
      <w:r w:rsidR="00BB4FF9" w:rsidRPr="00E4187D">
        <w:rPr>
          <w:rFonts w:ascii="Palatino Linotype" w:hAnsi="Palatino Linotype"/>
          <w:sz w:val="22"/>
        </w:rPr>
        <w:t xml:space="preserve">: </w:t>
      </w:r>
      <w:r w:rsidR="001D582C" w:rsidRPr="00E4187D">
        <w:rPr>
          <w:rFonts w:ascii="Palatino Linotype" w:hAnsi="Palatino Linotype"/>
          <w:sz w:val="22"/>
        </w:rPr>
        <w:t>alimentos e bebidas, construção</w:t>
      </w:r>
      <w:r w:rsidR="00EB151B" w:rsidRPr="00E4187D">
        <w:rPr>
          <w:rFonts w:ascii="Palatino Linotype" w:hAnsi="Palatino Linotype"/>
          <w:sz w:val="22"/>
        </w:rPr>
        <w:t xml:space="preserve">, eletroeletrônicos, </w:t>
      </w:r>
      <w:r w:rsidR="001D582C" w:rsidRPr="00E4187D">
        <w:rPr>
          <w:rFonts w:ascii="Palatino Linotype" w:hAnsi="Palatino Linotype"/>
          <w:sz w:val="22"/>
        </w:rPr>
        <w:t>e</w:t>
      </w:r>
      <w:r w:rsidR="00BB4FF9" w:rsidRPr="00E4187D">
        <w:rPr>
          <w:rFonts w:ascii="Palatino Linotype" w:hAnsi="Palatino Linotype"/>
          <w:sz w:val="22"/>
        </w:rPr>
        <w:t xml:space="preserve">nergia elétrica, finanças e seguros, </w:t>
      </w:r>
      <w:r w:rsidR="00EB151B" w:rsidRPr="00E4187D">
        <w:rPr>
          <w:rFonts w:ascii="Palatino Linotype" w:hAnsi="Palatino Linotype"/>
          <w:sz w:val="22"/>
        </w:rPr>
        <w:t>mineração, minerais não metais, papel e celulose, petróleo e gás, química</w:t>
      </w:r>
      <w:r w:rsidR="001D582C" w:rsidRPr="00E4187D">
        <w:rPr>
          <w:rFonts w:ascii="Palatino Linotype" w:hAnsi="Palatino Linotype"/>
          <w:sz w:val="22"/>
        </w:rPr>
        <w:t>,</w:t>
      </w:r>
      <w:r w:rsidR="00BB4FF9" w:rsidRPr="00E4187D">
        <w:rPr>
          <w:rFonts w:ascii="Palatino Linotype" w:hAnsi="Palatino Linotype"/>
          <w:sz w:val="22"/>
        </w:rPr>
        <w:t xml:space="preserve"> </w:t>
      </w:r>
      <w:r w:rsidR="00EB151B" w:rsidRPr="00E4187D">
        <w:rPr>
          <w:rFonts w:ascii="Palatino Linotype" w:hAnsi="Palatino Linotype"/>
          <w:sz w:val="22"/>
        </w:rPr>
        <w:t>telecomunicações, têxtil, transporte e serviços</w:t>
      </w:r>
      <w:r w:rsidR="00BB4FF9" w:rsidRPr="00E4187D">
        <w:rPr>
          <w:rFonts w:ascii="Palatino Linotype" w:hAnsi="Palatino Linotype"/>
          <w:sz w:val="22"/>
        </w:rPr>
        <w:t>,</w:t>
      </w:r>
      <w:r w:rsidR="001D582C" w:rsidRPr="00E4187D">
        <w:rPr>
          <w:rFonts w:ascii="Palatino Linotype" w:hAnsi="Palatino Linotype"/>
          <w:sz w:val="22"/>
        </w:rPr>
        <w:t xml:space="preserve"> veículos e peças e outros.</w:t>
      </w:r>
    </w:p>
    <w:p w14:paraId="3424A221" w14:textId="55D22D57" w:rsidR="00056C04" w:rsidRDefault="00056C04" w:rsidP="00056C04">
      <w:pPr>
        <w:ind w:firstLine="0"/>
        <w:rPr>
          <w:rFonts w:ascii="Palatino Linotype" w:eastAsia="Calibri" w:hAnsi="Palatino Linotype" w:cs="Times New Roman"/>
          <w:sz w:val="22"/>
        </w:rPr>
      </w:pPr>
    </w:p>
    <w:p w14:paraId="7B224F2C" w14:textId="77777777" w:rsidR="002106A0" w:rsidRDefault="002106A0" w:rsidP="00056C04">
      <w:pPr>
        <w:ind w:firstLine="0"/>
        <w:rPr>
          <w:rFonts w:ascii="Palatino Linotype" w:eastAsia="Calibri" w:hAnsi="Palatino Linotype" w:cs="Times New Roman"/>
          <w:sz w:val="22"/>
        </w:rPr>
      </w:pPr>
    </w:p>
    <w:p w14:paraId="3424A222" w14:textId="77777777" w:rsidR="00005715" w:rsidRDefault="00056C04" w:rsidP="00056C04">
      <w:pPr>
        <w:ind w:firstLine="0"/>
        <w:rPr>
          <w:rFonts w:ascii="Palatino Linotype" w:hAnsi="Palatino Linotype"/>
          <w:b/>
          <w:sz w:val="22"/>
        </w:rPr>
      </w:pPr>
      <w:r w:rsidRPr="00056C04">
        <w:rPr>
          <w:rFonts w:ascii="Palatino Linotype" w:eastAsia="Calibri" w:hAnsi="Palatino Linotype" w:cs="Times New Roman"/>
          <w:b/>
          <w:sz w:val="22"/>
        </w:rPr>
        <w:lastRenderedPageBreak/>
        <w:t>4</w:t>
      </w:r>
      <w:r>
        <w:rPr>
          <w:rFonts w:ascii="Palatino Linotype" w:eastAsia="Calibri" w:hAnsi="Palatino Linotype" w:cs="Times New Roman"/>
          <w:sz w:val="22"/>
        </w:rPr>
        <w:t xml:space="preserve"> </w:t>
      </w:r>
      <w:r w:rsidR="00005715" w:rsidRPr="00056C04">
        <w:rPr>
          <w:rFonts w:ascii="Palatino Linotype" w:hAnsi="Palatino Linotype"/>
          <w:b/>
          <w:sz w:val="22"/>
        </w:rPr>
        <w:t>RESULTADOS E DISCUSSÕES</w:t>
      </w:r>
    </w:p>
    <w:p w14:paraId="3424A223" w14:textId="77777777" w:rsidR="00AE725D" w:rsidRPr="00056C04" w:rsidRDefault="00AE725D" w:rsidP="00AE725D">
      <w:pPr>
        <w:ind w:firstLine="708"/>
        <w:rPr>
          <w:rFonts w:ascii="Palatino Linotype" w:hAnsi="Palatino Linotype"/>
          <w:b/>
          <w:sz w:val="22"/>
        </w:rPr>
      </w:pPr>
      <w:r w:rsidRPr="00E4187D">
        <w:rPr>
          <w:rFonts w:ascii="Palatino Linotype" w:hAnsi="Palatino Linotype"/>
          <w:sz w:val="22"/>
        </w:rPr>
        <w:t xml:space="preserve">Em primeira etapa será apresentada a </w:t>
      </w:r>
      <w:r w:rsidR="00DB2592">
        <w:rPr>
          <w:rFonts w:ascii="Palatino Linotype" w:hAnsi="Palatino Linotype"/>
          <w:sz w:val="22"/>
        </w:rPr>
        <w:t>estatística descritiva com foco na média, desvio padrão, máximo e mínimo</w:t>
      </w:r>
      <w:r w:rsidR="00415F8E">
        <w:rPr>
          <w:rFonts w:ascii="Palatino Linotype" w:hAnsi="Palatino Linotype"/>
          <w:sz w:val="22"/>
        </w:rPr>
        <w:t xml:space="preserve"> dos índices de autofinanciamento, endividamento e emissão de ações. Posteriormente, será evidenciado a </w:t>
      </w:r>
      <w:r w:rsidRPr="00E4187D">
        <w:rPr>
          <w:rFonts w:ascii="Palatino Linotype" w:hAnsi="Palatino Linotype"/>
          <w:sz w:val="22"/>
        </w:rPr>
        <w:t>principal fonte de financiamento da amostra, seguido pela fonte secundária de financiamento das companhias</w:t>
      </w:r>
      <w:r w:rsidR="00415F8E">
        <w:rPr>
          <w:rFonts w:ascii="Palatino Linotype" w:hAnsi="Palatino Linotype"/>
          <w:sz w:val="22"/>
        </w:rPr>
        <w:t>.</w:t>
      </w:r>
      <w:r w:rsidRPr="00E4187D">
        <w:rPr>
          <w:rFonts w:ascii="Palatino Linotype" w:hAnsi="Palatino Linotype"/>
          <w:sz w:val="22"/>
        </w:rPr>
        <w:t xml:space="preserve"> Concomitantes</w:t>
      </w:r>
      <w:r w:rsidR="00415F8E">
        <w:rPr>
          <w:rFonts w:ascii="Palatino Linotype" w:hAnsi="Palatino Linotype"/>
          <w:sz w:val="22"/>
        </w:rPr>
        <w:t>,</w:t>
      </w:r>
      <w:r w:rsidRPr="00E4187D">
        <w:rPr>
          <w:rFonts w:ascii="Palatino Linotype" w:hAnsi="Palatino Linotype"/>
          <w:sz w:val="22"/>
        </w:rPr>
        <w:t xml:space="preserve"> serão feitas referências com as teorias abordadas</w:t>
      </w:r>
      <w:r w:rsidR="00415F8E">
        <w:rPr>
          <w:rFonts w:ascii="Palatino Linotype" w:hAnsi="Palatino Linotype"/>
          <w:sz w:val="22"/>
        </w:rPr>
        <w:t>,</w:t>
      </w:r>
      <w:r w:rsidR="00415F8E" w:rsidRPr="00415F8E">
        <w:rPr>
          <w:rFonts w:ascii="Palatino Linotype" w:hAnsi="Palatino Linotype"/>
          <w:sz w:val="22"/>
        </w:rPr>
        <w:t xml:space="preserve"> </w:t>
      </w:r>
      <w:r w:rsidR="00415F8E">
        <w:rPr>
          <w:rFonts w:ascii="Palatino Linotype" w:hAnsi="Palatino Linotype"/>
          <w:sz w:val="22"/>
        </w:rPr>
        <w:t>trazendo evidências daquela</w:t>
      </w:r>
      <w:r w:rsidR="00415F8E" w:rsidRPr="00E4187D">
        <w:rPr>
          <w:rFonts w:ascii="Palatino Linotype" w:hAnsi="Palatino Linotype"/>
          <w:sz w:val="22"/>
        </w:rPr>
        <w:t xml:space="preserve"> que melhor explica o comportamento do resultado obtido</w:t>
      </w:r>
      <w:r w:rsidR="00415F8E">
        <w:rPr>
          <w:rFonts w:ascii="Palatino Linotype" w:hAnsi="Palatino Linotype"/>
          <w:sz w:val="22"/>
        </w:rPr>
        <w:t>.</w:t>
      </w:r>
      <w:r w:rsidRPr="00E4187D">
        <w:rPr>
          <w:rFonts w:ascii="Palatino Linotype" w:hAnsi="Palatino Linotype"/>
          <w:sz w:val="22"/>
        </w:rPr>
        <w:t xml:space="preserve"> Por fim, </w:t>
      </w:r>
      <w:r w:rsidR="00EB5401">
        <w:rPr>
          <w:rFonts w:ascii="Palatino Linotype" w:hAnsi="Palatino Linotype"/>
          <w:sz w:val="22"/>
        </w:rPr>
        <w:t>é apresentada</w:t>
      </w:r>
      <w:r w:rsidRPr="00E4187D">
        <w:rPr>
          <w:rFonts w:ascii="Palatino Linotype" w:hAnsi="Palatino Linotype"/>
          <w:sz w:val="22"/>
        </w:rPr>
        <w:t xml:space="preserve"> uma comparação com estudos anteriores qu</w:t>
      </w:r>
      <w:r>
        <w:rPr>
          <w:rFonts w:ascii="Palatino Linotype" w:hAnsi="Palatino Linotype"/>
          <w:sz w:val="22"/>
        </w:rPr>
        <w:t>e utilizaram a metodologia de Singh e Hamid (1992)</w:t>
      </w:r>
      <w:r w:rsidR="00415F8E">
        <w:rPr>
          <w:rFonts w:ascii="Palatino Linotype" w:hAnsi="Palatino Linotype"/>
          <w:sz w:val="22"/>
        </w:rPr>
        <w:t>.</w:t>
      </w:r>
      <w:r w:rsidRPr="00E4187D">
        <w:rPr>
          <w:rFonts w:ascii="Palatino Linotype" w:hAnsi="Palatino Linotype"/>
          <w:sz w:val="22"/>
        </w:rPr>
        <w:t xml:space="preserve"> </w:t>
      </w:r>
    </w:p>
    <w:p w14:paraId="3424A224" w14:textId="77777777" w:rsidR="00AE725D" w:rsidRDefault="00AE725D" w:rsidP="00711E2F">
      <w:pPr>
        <w:ind w:firstLine="0"/>
        <w:rPr>
          <w:rFonts w:ascii="Palatino Linotype" w:hAnsi="Palatino Linotype"/>
          <w:b/>
          <w:sz w:val="22"/>
        </w:rPr>
      </w:pPr>
    </w:p>
    <w:p w14:paraId="3424A225" w14:textId="77777777" w:rsidR="00711E2F" w:rsidRPr="00711E2F" w:rsidRDefault="00711E2F" w:rsidP="00711E2F">
      <w:pPr>
        <w:ind w:firstLine="0"/>
        <w:rPr>
          <w:rFonts w:ascii="Palatino Linotype" w:hAnsi="Palatino Linotype"/>
          <w:b/>
          <w:sz w:val="22"/>
        </w:rPr>
      </w:pPr>
      <w:r w:rsidRPr="00711E2F">
        <w:rPr>
          <w:rFonts w:ascii="Palatino Linotype" w:hAnsi="Palatino Linotype"/>
          <w:b/>
          <w:sz w:val="22"/>
        </w:rPr>
        <w:t>4.1 Estatística descritiva</w:t>
      </w:r>
    </w:p>
    <w:p w14:paraId="3424A226" w14:textId="77777777" w:rsidR="00957FBE" w:rsidRDefault="00957FBE" w:rsidP="00957FBE">
      <w:pPr>
        <w:jc w:val="center"/>
        <w:rPr>
          <w:rFonts w:ascii="Palatino Linotype" w:hAnsi="Palatino Linotype"/>
          <w:b/>
          <w:sz w:val="18"/>
          <w:szCs w:val="18"/>
        </w:rPr>
      </w:pPr>
    </w:p>
    <w:p w14:paraId="3424A227" w14:textId="77777777" w:rsidR="00957FBE" w:rsidRPr="00957FBE" w:rsidRDefault="00957FBE" w:rsidP="00957FBE">
      <w:pPr>
        <w:jc w:val="center"/>
        <w:rPr>
          <w:rFonts w:ascii="Palatino Linotype" w:hAnsi="Palatino Linotype"/>
          <w:sz w:val="18"/>
          <w:szCs w:val="18"/>
        </w:rPr>
      </w:pPr>
      <w:r w:rsidRPr="00957FBE">
        <w:rPr>
          <w:rFonts w:ascii="Palatino Linotype" w:hAnsi="Palatino Linotype"/>
          <w:b/>
          <w:sz w:val="18"/>
          <w:szCs w:val="18"/>
        </w:rPr>
        <w:t>Tabela 2</w:t>
      </w:r>
      <w:r w:rsidRPr="00957FBE">
        <w:rPr>
          <w:rFonts w:ascii="Palatino Linotype" w:hAnsi="Palatino Linotype"/>
          <w:sz w:val="18"/>
          <w:szCs w:val="18"/>
        </w:rPr>
        <w:t>: Estatística Descritiva</w:t>
      </w:r>
      <w:r w:rsidR="00BB0CB7">
        <w:rPr>
          <w:rFonts w:ascii="Palatino Linotype" w:hAnsi="Palatino Linotype"/>
          <w:sz w:val="18"/>
          <w:szCs w:val="18"/>
        </w:rPr>
        <w:t xml:space="preserve"> (Em %)</w:t>
      </w:r>
    </w:p>
    <w:tbl>
      <w:tblPr>
        <w:tblStyle w:val="Tabelacomgrade"/>
        <w:tblW w:w="7582" w:type="dxa"/>
        <w:jc w:val="center"/>
        <w:tblBorders>
          <w:left w:val="none" w:sz="0" w:space="0" w:color="auto"/>
          <w:right w:val="none" w:sz="0" w:space="0" w:color="auto"/>
        </w:tblBorders>
        <w:shd w:val="clear" w:color="auto" w:fill="FFFFFF" w:themeFill="background1"/>
        <w:tblLook w:val="04A0" w:firstRow="1" w:lastRow="0" w:firstColumn="1" w:lastColumn="0" w:noHBand="0" w:noVBand="1"/>
      </w:tblPr>
      <w:tblGrid>
        <w:gridCol w:w="1770"/>
        <w:gridCol w:w="1985"/>
        <w:gridCol w:w="1559"/>
        <w:gridCol w:w="2268"/>
      </w:tblGrid>
      <w:tr w:rsidR="00957FBE" w:rsidRPr="00711E2F" w14:paraId="3424A22C" w14:textId="77777777" w:rsidTr="00672862">
        <w:trPr>
          <w:trHeight w:val="285"/>
          <w:jc w:val="center"/>
        </w:trPr>
        <w:tc>
          <w:tcPr>
            <w:tcW w:w="1770" w:type="dxa"/>
            <w:shd w:val="clear" w:color="auto" w:fill="FFFFFF" w:themeFill="background1"/>
            <w:noWrap/>
            <w:hideMark/>
          </w:tcPr>
          <w:p w14:paraId="3424A228" w14:textId="77777777" w:rsidR="00711E2F" w:rsidRPr="00711E2F" w:rsidRDefault="00711E2F" w:rsidP="00957FBE">
            <w:pPr>
              <w:rPr>
                <w:rFonts w:ascii="Palatino Linotype" w:eastAsia="Times New Roman" w:hAnsi="Palatino Linotype"/>
                <w:sz w:val="18"/>
                <w:szCs w:val="18"/>
                <w:lang w:eastAsia="pt-BR"/>
              </w:rPr>
            </w:pPr>
          </w:p>
        </w:tc>
        <w:tc>
          <w:tcPr>
            <w:tcW w:w="1985" w:type="dxa"/>
            <w:shd w:val="clear" w:color="auto" w:fill="FFFFFF" w:themeFill="background1"/>
            <w:noWrap/>
            <w:hideMark/>
          </w:tcPr>
          <w:p w14:paraId="3424A229" w14:textId="77777777" w:rsidR="00711E2F" w:rsidRPr="00711E2F" w:rsidRDefault="00711E2F" w:rsidP="00957FBE">
            <w:pPr>
              <w:ind w:firstLine="0"/>
              <w:jc w:val="center"/>
              <w:rPr>
                <w:rFonts w:ascii="Palatino Linotype" w:eastAsia="Times New Roman" w:hAnsi="Palatino Linotype"/>
                <w:b/>
                <w:bCs/>
                <w:sz w:val="18"/>
                <w:szCs w:val="18"/>
                <w:lang w:eastAsia="pt-BR"/>
              </w:rPr>
            </w:pPr>
            <w:r w:rsidRPr="00711E2F">
              <w:rPr>
                <w:rFonts w:ascii="Palatino Linotype" w:eastAsia="Times New Roman" w:hAnsi="Palatino Linotype"/>
                <w:b/>
                <w:bCs/>
                <w:sz w:val="18"/>
                <w:szCs w:val="18"/>
                <w:lang w:eastAsia="pt-BR"/>
              </w:rPr>
              <w:t>Autofin</w:t>
            </w:r>
            <w:r>
              <w:rPr>
                <w:rFonts w:ascii="Palatino Linotype" w:eastAsia="Times New Roman" w:hAnsi="Palatino Linotype"/>
                <w:b/>
                <w:bCs/>
                <w:sz w:val="18"/>
                <w:szCs w:val="18"/>
                <w:lang w:eastAsia="pt-BR"/>
              </w:rPr>
              <w:t>anciamento</w:t>
            </w:r>
          </w:p>
        </w:tc>
        <w:tc>
          <w:tcPr>
            <w:tcW w:w="1559" w:type="dxa"/>
            <w:shd w:val="clear" w:color="auto" w:fill="FFFFFF" w:themeFill="background1"/>
            <w:noWrap/>
            <w:hideMark/>
          </w:tcPr>
          <w:p w14:paraId="3424A22A" w14:textId="77777777" w:rsidR="00711E2F" w:rsidRPr="00711E2F" w:rsidRDefault="00711E2F" w:rsidP="00957FBE">
            <w:pPr>
              <w:ind w:firstLine="0"/>
              <w:jc w:val="center"/>
              <w:rPr>
                <w:rFonts w:ascii="Palatino Linotype" w:eastAsia="Times New Roman" w:hAnsi="Palatino Linotype"/>
                <w:b/>
                <w:bCs/>
                <w:sz w:val="18"/>
                <w:szCs w:val="18"/>
                <w:lang w:eastAsia="pt-BR"/>
              </w:rPr>
            </w:pPr>
            <w:r w:rsidRPr="00711E2F">
              <w:rPr>
                <w:rFonts w:ascii="Palatino Linotype" w:eastAsia="Times New Roman" w:hAnsi="Palatino Linotype"/>
                <w:b/>
                <w:bCs/>
                <w:sz w:val="18"/>
                <w:szCs w:val="18"/>
                <w:lang w:eastAsia="pt-BR"/>
              </w:rPr>
              <w:t>Endividamento</w:t>
            </w:r>
          </w:p>
        </w:tc>
        <w:tc>
          <w:tcPr>
            <w:tcW w:w="2268" w:type="dxa"/>
            <w:shd w:val="clear" w:color="auto" w:fill="FFFFFF" w:themeFill="background1"/>
            <w:noWrap/>
            <w:hideMark/>
          </w:tcPr>
          <w:p w14:paraId="3424A22B" w14:textId="77777777" w:rsidR="00711E2F" w:rsidRPr="00711E2F" w:rsidRDefault="00957FBE" w:rsidP="00957FBE">
            <w:pPr>
              <w:ind w:firstLine="0"/>
              <w:jc w:val="center"/>
              <w:rPr>
                <w:rFonts w:ascii="Palatino Linotype" w:eastAsia="Times New Roman" w:hAnsi="Palatino Linotype"/>
                <w:b/>
                <w:bCs/>
                <w:sz w:val="18"/>
                <w:szCs w:val="18"/>
                <w:lang w:eastAsia="pt-BR"/>
              </w:rPr>
            </w:pPr>
            <w:r>
              <w:rPr>
                <w:rFonts w:ascii="Palatino Linotype" w:eastAsia="Times New Roman" w:hAnsi="Palatino Linotype"/>
                <w:b/>
                <w:bCs/>
                <w:sz w:val="18"/>
                <w:szCs w:val="18"/>
                <w:lang w:eastAsia="pt-BR"/>
              </w:rPr>
              <w:t>Emissão de Ações</w:t>
            </w:r>
          </w:p>
        </w:tc>
      </w:tr>
      <w:tr w:rsidR="00957FBE" w:rsidRPr="00711E2F" w14:paraId="3424A231" w14:textId="77777777" w:rsidTr="00672862">
        <w:trPr>
          <w:trHeight w:val="285"/>
          <w:jc w:val="center"/>
        </w:trPr>
        <w:tc>
          <w:tcPr>
            <w:tcW w:w="1770" w:type="dxa"/>
            <w:shd w:val="clear" w:color="auto" w:fill="FFFFFF" w:themeFill="background1"/>
            <w:noWrap/>
            <w:hideMark/>
          </w:tcPr>
          <w:p w14:paraId="3424A22D"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Média</w:t>
            </w:r>
          </w:p>
        </w:tc>
        <w:tc>
          <w:tcPr>
            <w:tcW w:w="1985" w:type="dxa"/>
            <w:shd w:val="clear" w:color="auto" w:fill="FFFFFF" w:themeFill="background1"/>
            <w:noWrap/>
            <w:hideMark/>
          </w:tcPr>
          <w:p w14:paraId="3424A22E"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1.39</w:t>
            </w:r>
          </w:p>
        </w:tc>
        <w:tc>
          <w:tcPr>
            <w:tcW w:w="1559" w:type="dxa"/>
            <w:shd w:val="clear" w:color="auto" w:fill="FFFFFF" w:themeFill="background1"/>
            <w:noWrap/>
            <w:hideMark/>
          </w:tcPr>
          <w:p w14:paraId="3424A22F"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1.37</w:t>
            </w:r>
          </w:p>
        </w:tc>
        <w:tc>
          <w:tcPr>
            <w:tcW w:w="2268" w:type="dxa"/>
            <w:shd w:val="clear" w:color="auto" w:fill="FFFFFF" w:themeFill="background1"/>
            <w:noWrap/>
            <w:hideMark/>
          </w:tcPr>
          <w:p w14:paraId="3424A230"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0.98</w:t>
            </w:r>
          </w:p>
        </w:tc>
      </w:tr>
      <w:tr w:rsidR="00957FBE" w:rsidRPr="00711E2F" w14:paraId="3424A236" w14:textId="77777777" w:rsidTr="00672862">
        <w:trPr>
          <w:trHeight w:val="285"/>
          <w:jc w:val="center"/>
        </w:trPr>
        <w:tc>
          <w:tcPr>
            <w:tcW w:w="1770" w:type="dxa"/>
            <w:shd w:val="clear" w:color="auto" w:fill="FFFFFF" w:themeFill="background1"/>
            <w:noWrap/>
            <w:hideMark/>
          </w:tcPr>
          <w:p w14:paraId="3424A232"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Desvio-Padrão</w:t>
            </w:r>
          </w:p>
        </w:tc>
        <w:tc>
          <w:tcPr>
            <w:tcW w:w="1985" w:type="dxa"/>
            <w:shd w:val="clear" w:color="auto" w:fill="FFFFFF" w:themeFill="background1"/>
            <w:noWrap/>
            <w:hideMark/>
          </w:tcPr>
          <w:p w14:paraId="3424A233"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0.28</w:t>
            </w:r>
          </w:p>
        </w:tc>
        <w:tc>
          <w:tcPr>
            <w:tcW w:w="1559" w:type="dxa"/>
            <w:shd w:val="clear" w:color="auto" w:fill="FFFFFF" w:themeFill="background1"/>
            <w:noWrap/>
            <w:hideMark/>
          </w:tcPr>
          <w:p w14:paraId="3424A234"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0.27</w:t>
            </w:r>
          </w:p>
        </w:tc>
        <w:tc>
          <w:tcPr>
            <w:tcW w:w="2268" w:type="dxa"/>
            <w:shd w:val="clear" w:color="auto" w:fill="FFFFFF" w:themeFill="background1"/>
            <w:noWrap/>
            <w:hideMark/>
          </w:tcPr>
          <w:p w14:paraId="3424A235"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0.39</w:t>
            </w:r>
          </w:p>
        </w:tc>
      </w:tr>
      <w:tr w:rsidR="00957FBE" w:rsidRPr="00711E2F" w14:paraId="3424A23B" w14:textId="77777777" w:rsidTr="00672862">
        <w:trPr>
          <w:trHeight w:val="285"/>
          <w:jc w:val="center"/>
        </w:trPr>
        <w:tc>
          <w:tcPr>
            <w:tcW w:w="1770" w:type="dxa"/>
            <w:shd w:val="clear" w:color="auto" w:fill="FFFFFF" w:themeFill="background1"/>
            <w:noWrap/>
            <w:hideMark/>
          </w:tcPr>
          <w:p w14:paraId="3424A237"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Máximo</w:t>
            </w:r>
          </w:p>
        </w:tc>
        <w:tc>
          <w:tcPr>
            <w:tcW w:w="1985" w:type="dxa"/>
            <w:shd w:val="clear" w:color="auto" w:fill="FFFFFF" w:themeFill="background1"/>
            <w:noWrap/>
            <w:hideMark/>
          </w:tcPr>
          <w:p w14:paraId="3424A238"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1.93</w:t>
            </w:r>
          </w:p>
        </w:tc>
        <w:tc>
          <w:tcPr>
            <w:tcW w:w="1559" w:type="dxa"/>
            <w:shd w:val="clear" w:color="auto" w:fill="FFFFFF" w:themeFill="background1"/>
            <w:noWrap/>
            <w:hideMark/>
          </w:tcPr>
          <w:p w14:paraId="3424A239"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1.98</w:t>
            </w:r>
          </w:p>
        </w:tc>
        <w:tc>
          <w:tcPr>
            <w:tcW w:w="2268" w:type="dxa"/>
            <w:shd w:val="clear" w:color="auto" w:fill="FFFFFF" w:themeFill="background1"/>
            <w:noWrap/>
            <w:hideMark/>
          </w:tcPr>
          <w:p w14:paraId="3424A23A" w14:textId="77777777" w:rsidR="00711E2F" w:rsidRPr="00711E2F" w:rsidRDefault="00BB0CB7" w:rsidP="00957FBE">
            <w:pPr>
              <w:jc w:val="left"/>
              <w:rPr>
                <w:rFonts w:ascii="Palatino Linotype" w:eastAsia="Times New Roman" w:hAnsi="Palatino Linotype"/>
                <w:color w:val="000000"/>
                <w:sz w:val="18"/>
                <w:szCs w:val="18"/>
                <w:lang w:eastAsia="pt-BR"/>
              </w:rPr>
            </w:pPr>
            <w:r>
              <w:rPr>
                <w:rFonts w:ascii="Palatino Linotype" w:eastAsia="Times New Roman" w:hAnsi="Palatino Linotype"/>
                <w:color w:val="000000"/>
                <w:sz w:val="18"/>
                <w:szCs w:val="18"/>
                <w:lang w:eastAsia="pt-BR"/>
              </w:rPr>
              <w:t>1.71</w:t>
            </w:r>
          </w:p>
        </w:tc>
      </w:tr>
      <w:tr w:rsidR="00957FBE" w:rsidRPr="00711E2F" w14:paraId="3424A240" w14:textId="77777777" w:rsidTr="00672862">
        <w:trPr>
          <w:trHeight w:val="285"/>
          <w:jc w:val="center"/>
        </w:trPr>
        <w:tc>
          <w:tcPr>
            <w:tcW w:w="1770" w:type="dxa"/>
            <w:shd w:val="clear" w:color="auto" w:fill="FFFFFF" w:themeFill="background1"/>
            <w:noWrap/>
            <w:hideMark/>
          </w:tcPr>
          <w:p w14:paraId="3424A23C"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Mínimo</w:t>
            </w:r>
          </w:p>
        </w:tc>
        <w:tc>
          <w:tcPr>
            <w:tcW w:w="1985" w:type="dxa"/>
            <w:shd w:val="clear" w:color="auto" w:fill="FFFFFF" w:themeFill="background1"/>
            <w:noWrap/>
            <w:hideMark/>
          </w:tcPr>
          <w:p w14:paraId="3424A23D"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1.00</w:t>
            </w:r>
          </w:p>
        </w:tc>
        <w:tc>
          <w:tcPr>
            <w:tcW w:w="1559" w:type="dxa"/>
            <w:shd w:val="clear" w:color="auto" w:fill="FFFFFF" w:themeFill="background1"/>
            <w:noWrap/>
            <w:hideMark/>
          </w:tcPr>
          <w:p w14:paraId="3424A23E"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1.00</w:t>
            </w:r>
          </w:p>
        </w:tc>
        <w:tc>
          <w:tcPr>
            <w:tcW w:w="2268" w:type="dxa"/>
            <w:shd w:val="clear" w:color="auto" w:fill="FFFFFF" w:themeFill="background1"/>
            <w:noWrap/>
            <w:hideMark/>
          </w:tcPr>
          <w:p w14:paraId="3424A23F"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0.19</w:t>
            </w:r>
          </w:p>
        </w:tc>
      </w:tr>
    </w:tbl>
    <w:p w14:paraId="3424A241" w14:textId="77777777" w:rsidR="00957FBE" w:rsidRPr="00957FBE" w:rsidRDefault="00957FBE" w:rsidP="00711E2F">
      <w:pPr>
        <w:rPr>
          <w:rFonts w:ascii="Palatino Linotype" w:hAnsi="Palatino Linotype" w:cs="Times New Roman"/>
          <w:sz w:val="18"/>
          <w:szCs w:val="18"/>
        </w:rPr>
      </w:pPr>
      <w:r w:rsidRPr="00957FBE">
        <w:rPr>
          <w:rFonts w:ascii="Palatino Linotype" w:hAnsi="Palatino Linotype" w:cs="Times New Roman"/>
          <w:b/>
          <w:sz w:val="18"/>
          <w:szCs w:val="18"/>
        </w:rPr>
        <w:t>Fonte</w:t>
      </w:r>
      <w:r w:rsidRPr="00957FBE">
        <w:rPr>
          <w:rFonts w:ascii="Palatino Linotype" w:hAnsi="Palatino Linotype" w:cs="Times New Roman"/>
          <w:sz w:val="18"/>
          <w:szCs w:val="18"/>
        </w:rPr>
        <w:t>. Dados da pesquisa</w:t>
      </w:r>
      <w:r w:rsidR="00BB0CB7">
        <w:rPr>
          <w:rFonts w:ascii="Palatino Linotype" w:hAnsi="Palatino Linotype" w:cs="Times New Roman"/>
          <w:sz w:val="18"/>
          <w:szCs w:val="18"/>
        </w:rPr>
        <w:t>.</w:t>
      </w:r>
    </w:p>
    <w:p w14:paraId="3424A242" w14:textId="77777777" w:rsidR="00957FBE" w:rsidRDefault="00957FBE" w:rsidP="00711E2F">
      <w:pPr>
        <w:rPr>
          <w:rFonts w:ascii="Palatino Linotype" w:hAnsi="Palatino Linotype" w:cs="Times New Roman"/>
          <w:sz w:val="22"/>
        </w:rPr>
      </w:pPr>
    </w:p>
    <w:p w14:paraId="3424A243" w14:textId="77777777" w:rsidR="00711E2F" w:rsidRDefault="00BB0CB7" w:rsidP="00711E2F">
      <w:pPr>
        <w:rPr>
          <w:rFonts w:ascii="Palatino Linotype" w:hAnsi="Palatino Linotype" w:cs="Times New Roman"/>
          <w:sz w:val="22"/>
        </w:rPr>
      </w:pPr>
      <w:r>
        <w:rPr>
          <w:rFonts w:ascii="Palatino Linotype" w:hAnsi="Palatino Linotype" w:cs="Times New Roman"/>
          <w:sz w:val="22"/>
        </w:rPr>
        <w:t>A média de a</w:t>
      </w:r>
      <w:r w:rsidR="00711E2F" w:rsidRPr="00711E2F">
        <w:rPr>
          <w:rFonts w:ascii="Palatino Linotype" w:hAnsi="Palatino Linotype" w:cs="Times New Roman"/>
          <w:sz w:val="22"/>
        </w:rPr>
        <w:t xml:space="preserve">utofinanciamento foi de 1.39, ao passo que a média de endividamento foi de 1.37. Após aplicação de um teste t de </w:t>
      </w:r>
      <w:r w:rsidR="00711E2F" w:rsidRPr="00711E2F">
        <w:rPr>
          <w:rFonts w:ascii="Palatino Linotype" w:hAnsi="Palatino Linotype" w:cs="Times New Roman"/>
          <w:i/>
          <w:sz w:val="22"/>
        </w:rPr>
        <w:t>student</w:t>
      </w:r>
      <w:r w:rsidR="00711E2F" w:rsidRPr="00711E2F">
        <w:rPr>
          <w:rFonts w:ascii="Palatino Linotype" w:hAnsi="Palatino Linotype" w:cs="Times New Roman"/>
          <w:sz w:val="22"/>
        </w:rPr>
        <w:t xml:space="preserve"> para diferença de médias, ficou evidente que não há diferença estatística entre os dois procedimentos de financiamento (conforme tabela </w:t>
      </w:r>
      <w:r w:rsidR="00415F8E">
        <w:rPr>
          <w:rFonts w:ascii="Palatino Linotype" w:hAnsi="Palatino Linotype" w:cs="Times New Roman"/>
          <w:sz w:val="22"/>
        </w:rPr>
        <w:t>3</w:t>
      </w:r>
      <w:r w:rsidR="00711E2F" w:rsidRPr="00711E2F">
        <w:rPr>
          <w:rFonts w:ascii="Palatino Linotype" w:hAnsi="Palatino Linotype" w:cs="Times New Roman"/>
          <w:sz w:val="22"/>
        </w:rPr>
        <w:t xml:space="preserve"> – Teste de diferença de média). Ou seja, entre esses dois não há preferência de fonte de financiamento. Entretanto, ambos são preferíveis </w:t>
      </w:r>
      <w:r w:rsidR="00415F8E">
        <w:rPr>
          <w:rFonts w:ascii="Palatino Linotype" w:hAnsi="Palatino Linotype" w:cs="Times New Roman"/>
          <w:sz w:val="22"/>
        </w:rPr>
        <w:t xml:space="preserve">em relação </w:t>
      </w:r>
      <w:r w:rsidR="00711E2F" w:rsidRPr="00711E2F">
        <w:rPr>
          <w:rFonts w:ascii="Palatino Linotype" w:hAnsi="Palatino Linotype" w:cs="Times New Roman"/>
          <w:sz w:val="22"/>
        </w:rPr>
        <w:t xml:space="preserve">ao </w:t>
      </w:r>
      <w:r w:rsidR="00415F8E" w:rsidRPr="00711E2F">
        <w:rPr>
          <w:rFonts w:ascii="Palatino Linotype" w:hAnsi="Palatino Linotype" w:cs="Times New Roman"/>
          <w:sz w:val="22"/>
        </w:rPr>
        <w:t>financiamento externo</w:t>
      </w:r>
      <w:r w:rsidR="00711E2F" w:rsidRPr="00711E2F">
        <w:rPr>
          <w:rFonts w:ascii="Palatino Linotype" w:hAnsi="Palatino Linotype" w:cs="Times New Roman"/>
          <w:sz w:val="22"/>
        </w:rPr>
        <w:t>, que apresentou média igual a 0,98.</w:t>
      </w:r>
    </w:p>
    <w:p w14:paraId="3424A244" w14:textId="77777777" w:rsidR="004416E1" w:rsidRPr="004416E1" w:rsidRDefault="004416E1" w:rsidP="004416E1">
      <w:pPr>
        <w:shd w:val="clear" w:color="auto" w:fill="FFFFFF"/>
        <w:ind w:firstLine="0"/>
        <w:jc w:val="left"/>
        <w:rPr>
          <w:rFonts w:ascii="Palatino Linotype" w:hAnsi="Palatino Linotype" w:cs="Times New Roman"/>
          <w:sz w:val="22"/>
        </w:rPr>
      </w:pPr>
      <w:r w:rsidRPr="004416E1">
        <w:rPr>
          <w:rFonts w:ascii="Palatino Linotype" w:hAnsi="Palatino Linotype" w:cs="Times New Roman"/>
          <w:sz w:val="22"/>
        </w:rPr>
        <w:t> </w:t>
      </w:r>
    </w:p>
    <w:p w14:paraId="3424A245" w14:textId="77777777" w:rsidR="00672862" w:rsidRPr="00672862" w:rsidRDefault="00672862" w:rsidP="00672862">
      <w:pPr>
        <w:shd w:val="clear" w:color="auto" w:fill="FFFFFF"/>
        <w:ind w:firstLine="0"/>
        <w:jc w:val="center"/>
        <w:rPr>
          <w:rFonts w:ascii="Palatino Linotype" w:hAnsi="Palatino Linotype" w:cs="Times New Roman"/>
          <w:sz w:val="18"/>
          <w:szCs w:val="18"/>
        </w:rPr>
      </w:pPr>
      <w:r w:rsidRPr="00672862">
        <w:rPr>
          <w:rFonts w:ascii="Palatino Linotype" w:hAnsi="Palatino Linotype" w:cs="Times New Roman"/>
          <w:b/>
          <w:sz w:val="18"/>
          <w:szCs w:val="18"/>
        </w:rPr>
        <w:t>Tabela 3:</w:t>
      </w:r>
      <w:r w:rsidR="00147F80" w:rsidRPr="00147F80">
        <w:rPr>
          <w:rFonts w:ascii="Palatino Linotype" w:hAnsi="Palatino Linotype" w:cs="Times New Roman"/>
          <w:sz w:val="22"/>
        </w:rPr>
        <w:t xml:space="preserve"> </w:t>
      </w:r>
      <w:r w:rsidR="00147F80" w:rsidRPr="00147F80">
        <w:rPr>
          <w:rFonts w:ascii="Palatino Linotype" w:hAnsi="Palatino Linotype" w:cs="Times New Roman"/>
          <w:sz w:val="18"/>
          <w:szCs w:val="18"/>
        </w:rPr>
        <w:t>Teste de diferença de média</w:t>
      </w:r>
      <w:r w:rsidRPr="00147F80">
        <w:rPr>
          <w:rFonts w:ascii="Palatino Linotype" w:hAnsi="Palatino Linotype" w:cs="Times New Roman"/>
          <w:sz w:val="18"/>
          <w:szCs w:val="18"/>
        </w:rPr>
        <w:tab/>
      </w:r>
    </w:p>
    <w:tbl>
      <w:tblPr>
        <w:tblStyle w:val="Tabelacomgrade"/>
        <w:tblW w:w="7341" w:type="dxa"/>
        <w:tblInd w:w="739" w:type="dxa"/>
        <w:tblBorders>
          <w:left w:val="none" w:sz="0" w:space="0" w:color="auto"/>
          <w:right w:val="none" w:sz="0" w:space="0" w:color="auto"/>
        </w:tblBorders>
        <w:tblLayout w:type="fixed"/>
        <w:tblLook w:val="04A0" w:firstRow="1" w:lastRow="0" w:firstColumn="1" w:lastColumn="0" w:noHBand="0" w:noVBand="1"/>
      </w:tblPr>
      <w:tblGrid>
        <w:gridCol w:w="1037"/>
        <w:gridCol w:w="634"/>
        <w:gridCol w:w="1134"/>
        <w:gridCol w:w="992"/>
        <w:gridCol w:w="1134"/>
        <w:gridCol w:w="1134"/>
        <w:gridCol w:w="1276"/>
      </w:tblGrid>
      <w:tr w:rsidR="00672862" w14:paraId="3424A24D" w14:textId="77777777" w:rsidTr="006C2A77">
        <w:tc>
          <w:tcPr>
            <w:tcW w:w="1037" w:type="dxa"/>
            <w:shd w:val="clear" w:color="auto" w:fill="auto"/>
          </w:tcPr>
          <w:p w14:paraId="3424A246"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Variable</w:t>
            </w:r>
          </w:p>
        </w:tc>
        <w:tc>
          <w:tcPr>
            <w:tcW w:w="634" w:type="dxa"/>
            <w:shd w:val="clear" w:color="auto" w:fill="auto"/>
          </w:tcPr>
          <w:p w14:paraId="3424A247"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Obs</w:t>
            </w:r>
          </w:p>
        </w:tc>
        <w:tc>
          <w:tcPr>
            <w:tcW w:w="1134" w:type="dxa"/>
            <w:shd w:val="clear" w:color="auto" w:fill="auto"/>
          </w:tcPr>
          <w:p w14:paraId="3424A248"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Mean</w:t>
            </w:r>
          </w:p>
        </w:tc>
        <w:tc>
          <w:tcPr>
            <w:tcW w:w="992" w:type="dxa"/>
            <w:shd w:val="clear" w:color="auto" w:fill="auto"/>
          </w:tcPr>
          <w:p w14:paraId="3424A249"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Std. Err.</w:t>
            </w:r>
          </w:p>
        </w:tc>
        <w:tc>
          <w:tcPr>
            <w:tcW w:w="1134" w:type="dxa"/>
            <w:shd w:val="clear" w:color="auto" w:fill="auto"/>
          </w:tcPr>
          <w:p w14:paraId="3424A24A"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Std. Dev.</w:t>
            </w:r>
          </w:p>
        </w:tc>
        <w:tc>
          <w:tcPr>
            <w:tcW w:w="1134" w:type="dxa"/>
            <w:shd w:val="clear" w:color="auto" w:fill="auto"/>
          </w:tcPr>
          <w:p w14:paraId="3424A24B"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95% Conf.</w:t>
            </w:r>
          </w:p>
        </w:tc>
        <w:tc>
          <w:tcPr>
            <w:tcW w:w="1276" w:type="dxa"/>
            <w:shd w:val="clear" w:color="auto" w:fill="auto"/>
          </w:tcPr>
          <w:p w14:paraId="3424A24C"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Intervalo</w:t>
            </w:r>
          </w:p>
        </w:tc>
      </w:tr>
      <w:tr w:rsidR="00672862" w14:paraId="3424A25C" w14:textId="77777777" w:rsidTr="006C2A77">
        <w:tc>
          <w:tcPr>
            <w:tcW w:w="1037" w:type="dxa"/>
            <w:shd w:val="clear" w:color="auto" w:fill="auto"/>
          </w:tcPr>
          <w:p w14:paraId="3424A24E"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var1</w:t>
            </w:r>
          </w:p>
          <w:p w14:paraId="3424A24F"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var2</w:t>
            </w:r>
          </w:p>
        </w:tc>
        <w:tc>
          <w:tcPr>
            <w:tcW w:w="634" w:type="dxa"/>
            <w:shd w:val="clear" w:color="auto" w:fill="auto"/>
          </w:tcPr>
          <w:p w14:paraId="3424A250"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p w14:paraId="3424A251"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tc>
        <w:tc>
          <w:tcPr>
            <w:tcW w:w="1134" w:type="dxa"/>
            <w:shd w:val="clear" w:color="auto" w:fill="auto"/>
          </w:tcPr>
          <w:p w14:paraId="3424A252"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1.548709</w:t>
            </w:r>
          </w:p>
          <w:p w14:paraId="3424A253"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1.547571</w:t>
            </w:r>
          </w:p>
        </w:tc>
        <w:tc>
          <w:tcPr>
            <w:tcW w:w="992" w:type="dxa"/>
            <w:shd w:val="clear" w:color="auto" w:fill="auto"/>
          </w:tcPr>
          <w:p w14:paraId="3424A254"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.0541375</w:t>
            </w:r>
          </w:p>
          <w:p w14:paraId="3424A255"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.0531232</w:t>
            </w:r>
          </w:p>
        </w:tc>
        <w:tc>
          <w:tcPr>
            <w:tcW w:w="1134" w:type="dxa"/>
            <w:shd w:val="clear" w:color="auto" w:fill="auto"/>
          </w:tcPr>
          <w:p w14:paraId="3424A256"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.2539272</w:t>
            </w:r>
          </w:p>
          <w:p w14:paraId="3424A257"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.2491699</w:t>
            </w:r>
          </w:p>
        </w:tc>
        <w:tc>
          <w:tcPr>
            <w:tcW w:w="1134" w:type="dxa"/>
            <w:shd w:val="clear" w:color="auto" w:fill="auto"/>
          </w:tcPr>
          <w:p w14:paraId="3424A258"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1.436124</w:t>
            </w:r>
          </w:p>
          <w:p w14:paraId="3424A259"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1.437095</w:t>
            </w:r>
          </w:p>
        </w:tc>
        <w:tc>
          <w:tcPr>
            <w:tcW w:w="1276" w:type="dxa"/>
            <w:shd w:val="clear" w:color="auto" w:fill="auto"/>
          </w:tcPr>
          <w:p w14:paraId="3424A25A"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1.661294</w:t>
            </w:r>
          </w:p>
          <w:p w14:paraId="3424A25B"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1.658047</w:t>
            </w:r>
          </w:p>
        </w:tc>
      </w:tr>
      <w:tr w:rsidR="00672862" w14:paraId="3424A264" w14:textId="77777777" w:rsidTr="006C2A77">
        <w:tc>
          <w:tcPr>
            <w:tcW w:w="1037" w:type="dxa"/>
            <w:tcBorders>
              <w:bottom w:val="single" w:sz="4" w:space="0" w:color="auto"/>
            </w:tcBorders>
            <w:shd w:val="clear" w:color="auto" w:fill="auto"/>
          </w:tcPr>
          <w:p w14:paraId="3424A25D"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diff</w:t>
            </w:r>
          </w:p>
        </w:tc>
        <w:tc>
          <w:tcPr>
            <w:tcW w:w="634" w:type="dxa"/>
            <w:tcBorders>
              <w:bottom w:val="single" w:sz="4" w:space="0" w:color="auto"/>
            </w:tcBorders>
            <w:shd w:val="clear" w:color="auto" w:fill="auto"/>
          </w:tcPr>
          <w:p w14:paraId="3424A25E"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tc>
        <w:tc>
          <w:tcPr>
            <w:tcW w:w="1134" w:type="dxa"/>
            <w:tcBorders>
              <w:bottom w:val="single" w:sz="4" w:space="0" w:color="auto"/>
            </w:tcBorders>
            <w:shd w:val="clear" w:color="auto" w:fill="auto"/>
          </w:tcPr>
          <w:p w14:paraId="3424A25F"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.0011381</w:t>
            </w:r>
          </w:p>
        </w:tc>
        <w:tc>
          <w:tcPr>
            <w:tcW w:w="992" w:type="dxa"/>
            <w:tcBorders>
              <w:bottom w:val="single" w:sz="4" w:space="0" w:color="auto"/>
            </w:tcBorders>
            <w:shd w:val="clear" w:color="auto" w:fill="auto"/>
          </w:tcPr>
          <w:p w14:paraId="3424A260"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.0737911</w:t>
            </w:r>
          </w:p>
        </w:tc>
        <w:tc>
          <w:tcPr>
            <w:tcW w:w="1134" w:type="dxa"/>
            <w:tcBorders>
              <w:bottom w:val="single" w:sz="4" w:space="0" w:color="auto"/>
            </w:tcBorders>
            <w:shd w:val="clear" w:color="auto" w:fill="auto"/>
          </w:tcPr>
          <w:p w14:paraId="3424A261"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.346111</w:t>
            </w:r>
          </w:p>
        </w:tc>
        <w:tc>
          <w:tcPr>
            <w:tcW w:w="1134" w:type="dxa"/>
            <w:tcBorders>
              <w:bottom w:val="single" w:sz="4" w:space="0" w:color="auto"/>
            </w:tcBorders>
            <w:shd w:val="clear" w:color="auto" w:fill="auto"/>
          </w:tcPr>
          <w:p w14:paraId="3424A262"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-.152319</w:t>
            </w:r>
          </w:p>
        </w:tc>
        <w:tc>
          <w:tcPr>
            <w:tcW w:w="1276" w:type="dxa"/>
            <w:tcBorders>
              <w:bottom w:val="single" w:sz="4" w:space="0" w:color="auto"/>
            </w:tcBorders>
            <w:shd w:val="clear" w:color="auto" w:fill="auto"/>
          </w:tcPr>
          <w:p w14:paraId="3424A263"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.1545951</w:t>
            </w:r>
          </w:p>
        </w:tc>
      </w:tr>
      <w:tr w:rsidR="0069609C" w:rsidRPr="00035E2C" w14:paraId="3424A267" w14:textId="77777777" w:rsidTr="006C2A77">
        <w:tc>
          <w:tcPr>
            <w:tcW w:w="7341" w:type="dxa"/>
            <w:gridSpan w:val="7"/>
            <w:tcBorders>
              <w:top w:val="single" w:sz="4" w:space="0" w:color="auto"/>
              <w:bottom w:val="nil"/>
            </w:tcBorders>
            <w:shd w:val="clear" w:color="auto" w:fill="auto"/>
          </w:tcPr>
          <w:p w14:paraId="3424A265" w14:textId="2C887E3F" w:rsidR="0069609C" w:rsidRPr="00672862" w:rsidRDefault="0069609C" w:rsidP="004416E1">
            <w:pPr>
              <w:ind w:firstLine="0"/>
              <w:jc w:val="left"/>
              <w:rPr>
                <w:rFonts w:ascii="Palatino Linotype" w:hAnsi="Palatino Linotype"/>
                <w:sz w:val="18"/>
                <w:szCs w:val="18"/>
                <w:lang w:val="en-US"/>
              </w:rPr>
            </w:pPr>
            <w:r w:rsidRPr="00672862">
              <w:rPr>
                <w:rFonts w:ascii="Palatino Linotype" w:hAnsi="Palatino Linotype"/>
                <w:sz w:val="18"/>
                <w:szCs w:val="18"/>
                <w:lang w:val="en-US"/>
              </w:rPr>
              <w:t>mean(diff) = mean</w:t>
            </w:r>
            <w:r w:rsidR="002106A0">
              <w:rPr>
                <w:rFonts w:ascii="Palatino Linotype" w:hAnsi="Palatino Linotype"/>
                <w:sz w:val="18"/>
                <w:szCs w:val="18"/>
                <w:lang w:val="en-US"/>
              </w:rPr>
              <w:t xml:space="preserve"> </w:t>
            </w:r>
            <w:r w:rsidRPr="00672862">
              <w:rPr>
                <w:rFonts w:ascii="Palatino Linotype" w:hAnsi="Palatino Linotype"/>
                <w:sz w:val="18"/>
                <w:szCs w:val="18"/>
                <w:lang w:val="en-US"/>
              </w:rPr>
              <w:t>(var1 - var2)                                                                  t =   0.0154</w:t>
            </w:r>
          </w:p>
          <w:p w14:paraId="3424A266" w14:textId="77777777" w:rsidR="0069609C" w:rsidRPr="0024452C" w:rsidRDefault="0069609C" w:rsidP="0069609C">
            <w:pPr>
              <w:ind w:firstLine="0"/>
              <w:jc w:val="left"/>
              <w:rPr>
                <w:rFonts w:ascii="Palatino Linotype" w:hAnsi="Palatino Linotype"/>
                <w:sz w:val="18"/>
                <w:szCs w:val="18"/>
                <w:lang w:val="en-US"/>
              </w:rPr>
            </w:pPr>
            <w:r w:rsidRPr="0024452C">
              <w:rPr>
                <w:rFonts w:ascii="Palatino Linotype" w:hAnsi="Palatino Linotype"/>
                <w:sz w:val="18"/>
                <w:szCs w:val="18"/>
                <w:lang w:val="en-US"/>
              </w:rPr>
              <w:t>Ho: mean(diff) = 0                                                                    degrees of freedom = 21</w:t>
            </w:r>
          </w:p>
        </w:tc>
      </w:tr>
      <w:tr w:rsidR="0069609C" w14:paraId="3424A26A" w14:textId="77777777" w:rsidTr="006C2A77">
        <w:tc>
          <w:tcPr>
            <w:tcW w:w="7341" w:type="dxa"/>
            <w:gridSpan w:val="7"/>
            <w:tcBorders>
              <w:top w:val="nil"/>
              <w:bottom w:val="single" w:sz="4" w:space="0" w:color="auto"/>
            </w:tcBorders>
            <w:shd w:val="clear" w:color="auto" w:fill="auto"/>
          </w:tcPr>
          <w:p w14:paraId="3424A268" w14:textId="77777777" w:rsidR="0069609C" w:rsidRPr="00672862" w:rsidRDefault="0069609C" w:rsidP="0069609C">
            <w:pPr>
              <w:shd w:val="clear" w:color="auto" w:fill="FFFFFF"/>
              <w:ind w:firstLine="0"/>
              <w:rPr>
                <w:rFonts w:ascii="Palatino Linotype" w:hAnsi="Palatino Linotype"/>
                <w:sz w:val="18"/>
                <w:szCs w:val="18"/>
              </w:rPr>
            </w:pPr>
            <w:r w:rsidRPr="0024452C">
              <w:rPr>
                <w:rFonts w:ascii="Palatino Linotype" w:hAnsi="Palatino Linotype"/>
                <w:sz w:val="18"/>
                <w:szCs w:val="18"/>
                <w:lang w:val="en-US"/>
              </w:rPr>
              <w:t>Ha: mean(diff) &lt; 0                        Ha: mean(diff) != </w:t>
            </w:r>
            <w:r w:rsidRPr="00672862">
              <w:rPr>
                <w:rFonts w:ascii="Palatino Linotype" w:hAnsi="Palatino Linotype"/>
                <w:sz w:val="18"/>
                <w:szCs w:val="18"/>
              </w:rPr>
              <w:t>0           Ha: mean(diff) &gt; 0</w:t>
            </w:r>
          </w:p>
          <w:p w14:paraId="3424A269" w14:textId="77777777" w:rsidR="0069609C" w:rsidRPr="00672862" w:rsidRDefault="0069609C" w:rsidP="0069609C">
            <w:pPr>
              <w:shd w:val="clear" w:color="auto" w:fill="FFFFFF"/>
              <w:ind w:firstLine="0"/>
              <w:rPr>
                <w:rFonts w:ascii="Palatino Linotype" w:hAnsi="Palatino Linotype"/>
                <w:sz w:val="18"/>
                <w:szCs w:val="18"/>
              </w:rPr>
            </w:pPr>
            <w:r w:rsidRPr="00672862">
              <w:rPr>
                <w:rFonts w:ascii="Palatino Linotype" w:hAnsi="Palatino Linotype"/>
                <w:sz w:val="18"/>
                <w:szCs w:val="18"/>
              </w:rPr>
              <w:t>Pr(T &lt; t) = 0.5061                          Pr(|T| &gt; |t|) = 0.9878       Pr(T &gt; t) = 0.4939</w:t>
            </w:r>
          </w:p>
        </w:tc>
      </w:tr>
    </w:tbl>
    <w:p w14:paraId="3424A26B" w14:textId="77777777" w:rsidR="004416E1" w:rsidRPr="00F1217D" w:rsidRDefault="00F1217D" w:rsidP="00F1217D">
      <w:pPr>
        <w:jc w:val="left"/>
        <w:rPr>
          <w:rFonts w:ascii="Palatino Linotype" w:hAnsi="Palatino Linotype" w:cs="Times New Roman"/>
          <w:sz w:val="18"/>
          <w:szCs w:val="18"/>
        </w:rPr>
      </w:pPr>
      <w:r w:rsidRPr="00E3303D">
        <w:rPr>
          <w:rFonts w:ascii="Palatino Linotype" w:hAnsi="Palatino Linotype" w:cs="Times New Roman"/>
          <w:b/>
          <w:sz w:val="18"/>
          <w:szCs w:val="18"/>
        </w:rPr>
        <w:t>Fonte</w:t>
      </w:r>
      <w:r w:rsidR="00E3303D">
        <w:rPr>
          <w:rFonts w:ascii="Palatino Linotype" w:hAnsi="Palatino Linotype" w:cs="Times New Roman"/>
          <w:sz w:val="18"/>
          <w:szCs w:val="18"/>
        </w:rPr>
        <w:t>.</w:t>
      </w:r>
      <w:r w:rsidR="000D5682">
        <w:rPr>
          <w:rFonts w:ascii="Palatino Linotype" w:hAnsi="Palatino Linotype" w:cs="Times New Roman"/>
          <w:sz w:val="18"/>
          <w:szCs w:val="18"/>
        </w:rPr>
        <w:t xml:space="preserve"> Elaborado</w:t>
      </w:r>
      <w:r w:rsidRPr="00F1217D">
        <w:rPr>
          <w:rFonts w:ascii="Palatino Linotype" w:hAnsi="Palatino Linotype" w:cs="Times New Roman"/>
          <w:sz w:val="18"/>
          <w:szCs w:val="18"/>
        </w:rPr>
        <w:t xml:space="preserve"> pelos autores</w:t>
      </w:r>
      <w:r w:rsidR="00E3303D">
        <w:rPr>
          <w:rFonts w:ascii="Palatino Linotype" w:hAnsi="Palatino Linotype" w:cs="Times New Roman"/>
          <w:sz w:val="18"/>
          <w:szCs w:val="18"/>
        </w:rPr>
        <w:t>.</w:t>
      </w:r>
    </w:p>
    <w:p w14:paraId="3424A26C" w14:textId="7E1F1194"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&lt; 0 testa se a diferença é menor do que zero.</w:t>
      </w:r>
    </w:p>
    <w:p w14:paraId="3424A26D" w14:textId="641309E9"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 0 testa se existe diferença entre as médias.</w:t>
      </w:r>
    </w:p>
    <w:p w14:paraId="3424A26E" w14:textId="5B2DC167"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&gt; 0 testa se a diferença é maior do que zero.</w:t>
      </w:r>
    </w:p>
    <w:p w14:paraId="3424A26F" w14:textId="77777777" w:rsidR="004416E1" w:rsidRPr="004416E1" w:rsidRDefault="004416E1" w:rsidP="004416E1">
      <w:pPr>
        <w:shd w:val="clear" w:color="auto" w:fill="FFFFFF"/>
        <w:ind w:firstLine="0"/>
        <w:jc w:val="left"/>
        <w:rPr>
          <w:rFonts w:ascii="Palatino Linotype" w:hAnsi="Palatino Linotype" w:cs="Times New Roman"/>
          <w:sz w:val="22"/>
        </w:rPr>
      </w:pPr>
      <w:r w:rsidRPr="004416E1">
        <w:rPr>
          <w:rFonts w:ascii="Palatino Linotype" w:hAnsi="Palatino Linotype" w:cs="Times New Roman"/>
          <w:sz w:val="22"/>
        </w:rPr>
        <w:t> </w:t>
      </w:r>
    </w:p>
    <w:p w14:paraId="3424A270" w14:textId="04971EF4" w:rsidR="004416E1" w:rsidRPr="004416E1" w:rsidRDefault="00464B5A" w:rsidP="004416E1">
      <w:pPr>
        <w:shd w:val="clear" w:color="auto" w:fill="FFFFFF"/>
        <w:ind w:firstLine="708"/>
        <w:jc w:val="left"/>
        <w:rPr>
          <w:rFonts w:ascii="Palatino Linotype" w:hAnsi="Palatino Linotype" w:cs="Times New Roman"/>
          <w:sz w:val="22"/>
        </w:rPr>
      </w:pPr>
      <w:r w:rsidRPr="004416E1">
        <w:rPr>
          <w:rFonts w:ascii="Palatino Linotype" w:hAnsi="Palatino Linotype" w:cs="Times New Roman"/>
          <w:sz w:val="22"/>
        </w:rPr>
        <w:t>Os testes mostram que não há diferença significativa e</w:t>
      </w:r>
      <w:r>
        <w:rPr>
          <w:rFonts w:ascii="Palatino Linotype" w:hAnsi="Palatino Linotype" w:cs="Times New Roman"/>
          <w:sz w:val="22"/>
        </w:rPr>
        <w:t>ntre os grupos</w:t>
      </w:r>
      <w:r w:rsidR="00734EB7">
        <w:rPr>
          <w:rFonts w:ascii="Palatino Linotype" w:hAnsi="Palatino Linotype" w:cs="Times New Roman"/>
          <w:sz w:val="22"/>
        </w:rPr>
        <w:t xml:space="preserve"> (p-valor para existência de diferença de média igual a 0,9878)</w:t>
      </w:r>
      <w:r>
        <w:rPr>
          <w:rFonts w:ascii="Palatino Linotype" w:hAnsi="Palatino Linotype" w:cs="Times New Roman"/>
          <w:sz w:val="22"/>
        </w:rPr>
        <w:t xml:space="preserve">. </w:t>
      </w:r>
      <w:r w:rsidR="004416E1" w:rsidRPr="004416E1">
        <w:rPr>
          <w:rFonts w:ascii="Palatino Linotype" w:hAnsi="Palatino Linotype" w:cs="Times New Roman"/>
          <w:sz w:val="22"/>
        </w:rPr>
        <w:t xml:space="preserve">Logo, 51% não </w:t>
      </w:r>
      <w:r w:rsidR="008E7DF0">
        <w:rPr>
          <w:rFonts w:ascii="Palatino Linotype" w:hAnsi="Palatino Linotype" w:cs="Times New Roman"/>
          <w:sz w:val="22"/>
        </w:rPr>
        <w:t>diverge</w:t>
      </w:r>
      <w:r w:rsidR="004416E1" w:rsidRPr="004416E1">
        <w:rPr>
          <w:rFonts w:ascii="Palatino Linotype" w:hAnsi="Palatino Linotype" w:cs="Times New Roman"/>
          <w:sz w:val="22"/>
        </w:rPr>
        <w:t xml:space="preserve"> de 49%. Os dois modelos são igualmente válidos.</w:t>
      </w:r>
    </w:p>
    <w:p w14:paraId="3424A271" w14:textId="77777777" w:rsidR="00BB0CB7" w:rsidRDefault="00711E2F" w:rsidP="00711E2F">
      <w:pPr>
        <w:rPr>
          <w:rFonts w:ascii="Palatino Linotype" w:hAnsi="Palatino Linotype" w:cs="Times New Roman"/>
          <w:sz w:val="22"/>
        </w:rPr>
      </w:pPr>
      <w:r w:rsidRPr="00711E2F">
        <w:rPr>
          <w:rFonts w:ascii="Palatino Linotype" w:hAnsi="Palatino Linotype" w:cs="Times New Roman"/>
          <w:sz w:val="22"/>
        </w:rPr>
        <w:t xml:space="preserve">Conforme explicado nas fórmulas, os índices representam o nível de comprometimento dos recursos das empresas, sendo que para cada fórmula, o índice </w:t>
      </w:r>
      <w:r w:rsidR="000E70AD">
        <w:rPr>
          <w:rFonts w:ascii="Palatino Linotype" w:hAnsi="Palatino Linotype" w:cs="Times New Roman"/>
          <w:sz w:val="22"/>
        </w:rPr>
        <w:t xml:space="preserve">demonstra </w:t>
      </w:r>
      <w:r w:rsidRPr="00711E2F">
        <w:rPr>
          <w:rFonts w:ascii="Palatino Linotype" w:hAnsi="Palatino Linotype" w:cs="Times New Roman"/>
          <w:sz w:val="22"/>
        </w:rPr>
        <w:t xml:space="preserve">se a </w:t>
      </w:r>
      <w:r w:rsidR="000E70AD">
        <w:rPr>
          <w:rFonts w:ascii="Palatino Linotype" w:hAnsi="Palatino Linotype" w:cs="Times New Roman"/>
          <w:sz w:val="22"/>
        </w:rPr>
        <w:t>companhias</w:t>
      </w:r>
      <w:r w:rsidRPr="00711E2F">
        <w:rPr>
          <w:rFonts w:ascii="Palatino Linotype" w:hAnsi="Palatino Linotype" w:cs="Times New Roman"/>
          <w:sz w:val="22"/>
        </w:rPr>
        <w:t xml:space="preserve"> utiliza</w:t>
      </w:r>
      <w:r w:rsidR="000E70AD">
        <w:rPr>
          <w:rFonts w:ascii="Palatino Linotype" w:hAnsi="Palatino Linotype" w:cs="Times New Roman"/>
          <w:sz w:val="22"/>
        </w:rPr>
        <w:t>m</w:t>
      </w:r>
      <w:r w:rsidRPr="00711E2F">
        <w:rPr>
          <w:rFonts w:ascii="Palatino Linotype" w:hAnsi="Palatino Linotype" w:cs="Times New Roman"/>
          <w:sz w:val="22"/>
        </w:rPr>
        <w:t xml:space="preserve"> mais o autofinanciamento, o endividamento ou o financiamento externo. O maior dos três é que define a preferência da </w:t>
      </w:r>
      <w:r w:rsidR="00F1217D">
        <w:rPr>
          <w:rFonts w:ascii="Palatino Linotype" w:hAnsi="Palatino Linotype" w:cs="Times New Roman"/>
          <w:sz w:val="22"/>
        </w:rPr>
        <w:t>companhia</w:t>
      </w:r>
      <w:r w:rsidRPr="00711E2F">
        <w:rPr>
          <w:rFonts w:ascii="Palatino Linotype" w:hAnsi="Palatino Linotype" w:cs="Times New Roman"/>
          <w:sz w:val="22"/>
        </w:rPr>
        <w:t>.</w:t>
      </w:r>
    </w:p>
    <w:p w14:paraId="3424A272" w14:textId="77777777" w:rsidR="00711E2F" w:rsidRDefault="00F1217D" w:rsidP="00711E2F">
      <w:pPr>
        <w:rPr>
          <w:rFonts w:ascii="Palatino Linotype" w:hAnsi="Palatino Linotype" w:cs="Times New Roman"/>
          <w:sz w:val="22"/>
        </w:rPr>
      </w:pPr>
      <w:r>
        <w:rPr>
          <w:rFonts w:ascii="Palatino Linotype" w:hAnsi="Palatino Linotype" w:cs="Times New Roman"/>
          <w:sz w:val="22"/>
        </w:rPr>
        <w:t>Nest</w:t>
      </w:r>
      <w:r w:rsidR="00711E2F" w:rsidRPr="00711E2F">
        <w:rPr>
          <w:rFonts w:ascii="Palatino Linotype" w:hAnsi="Palatino Linotype" w:cs="Times New Roman"/>
          <w:sz w:val="22"/>
        </w:rPr>
        <w:t xml:space="preserve">e sentido, </w:t>
      </w:r>
      <w:r>
        <w:rPr>
          <w:rFonts w:ascii="Palatino Linotype" w:hAnsi="Palatino Linotype" w:cs="Times New Roman"/>
          <w:sz w:val="22"/>
        </w:rPr>
        <w:t>se observa</w:t>
      </w:r>
      <w:r w:rsidR="00711E2F" w:rsidRPr="00711E2F">
        <w:rPr>
          <w:rFonts w:ascii="Palatino Linotype" w:hAnsi="Palatino Linotype" w:cs="Times New Roman"/>
          <w:sz w:val="22"/>
        </w:rPr>
        <w:t xml:space="preserve"> a preferência das empresas pelo autofinanciamento ou endividamento, em detrimento ao financiamento externo por meio de abertura de capital. </w:t>
      </w:r>
      <w:r w:rsidR="00711E2F" w:rsidRPr="00711E2F">
        <w:rPr>
          <w:rFonts w:ascii="Palatino Linotype" w:hAnsi="Palatino Linotype" w:cs="Times New Roman"/>
          <w:sz w:val="22"/>
        </w:rPr>
        <w:lastRenderedPageBreak/>
        <w:t xml:space="preserve">Isso está de acordo com </w:t>
      </w:r>
      <w:r w:rsidR="004416E1">
        <w:rPr>
          <w:rFonts w:ascii="Palatino Linotype" w:hAnsi="Palatino Linotype" w:cs="Times New Roman"/>
          <w:sz w:val="22"/>
        </w:rPr>
        <w:t xml:space="preserve">a </w:t>
      </w:r>
      <w:r w:rsidR="004416E1" w:rsidRPr="00220A8A">
        <w:rPr>
          <w:rFonts w:ascii="Palatino Linotype" w:hAnsi="Palatino Linotype"/>
          <w:i/>
          <w:sz w:val="22"/>
        </w:rPr>
        <w:t>Pecking Order Theory</w:t>
      </w:r>
      <w:r w:rsidR="004416E1" w:rsidRPr="00E4187D">
        <w:rPr>
          <w:rFonts w:ascii="Palatino Linotype" w:hAnsi="Palatino Linotype"/>
          <w:sz w:val="22"/>
        </w:rPr>
        <w:t xml:space="preserve"> com sua hierarquização de fontes de financiamento sendo o autofinanciamento </w:t>
      </w:r>
      <w:r w:rsidR="007931C6">
        <w:rPr>
          <w:rFonts w:ascii="Palatino Linotype" w:hAnsi="Palatino Linotype"/>
          <w:sz w:val="22"/>
        </w:rPr>
        <w:t xml:space="preserve">(51%) </w:t>
      </w:r>
      <w:r w:rsidR="004416E1" w:rsidRPr="00E4187D">
        <w:rPr>
          <w:rFonts w:ascii="Palatino Linotype" w:hAnsi="Palatino Linotype"/>
          <w:sz w:val="22"/>
        </w:rPr>
        <w:t>a principal opção de capitação de recurso</w:t>
      </w:r>
      <w:r w:rsidR="004416E1">
        <w:rPr>
          <w:rFonts w:ascii="Palatino Linotype" w:hAnsi="Palatino Linotype"/>
          <w:sz w:val="22"/>
        </w:rPr>
        <w:t>s,</w:t>
      </w:r>
      <w:r w:rsidR="00711E2F" w:rsidRPr="00711E2F">
        <w:rPr>
          <w:rFonts w:ascii="Palatino Linotype" w:hAnsi="Palatino Linotype" w:cs="Times New Roman"/>
          <w:sz w:val="22"/>
        </w:rPr>
        <w:t xml:space="preserve"> conforme previram </w:t>
      </w:r>
      <w:r w:rsidR="004416E1">
        <w:rPr>
          <w:rFonts w:ascii="Palatino Linotype" w:hAnsi="Palatino Linotype"/>
          <w:sz w:val="22"/>
        </w:rPr>
        <w:t xml:space="preserve">Myers </w:t>
      </w:r>
      <w:r w:rsidR="00CD4A20">
        <w:rPr>
          <w:rFonts w:ascii="Palatino Linotype" w:hAnsi="Palatino Linotype"/>
          <w:sz w:val="22"/>
        </w:rPr>
        <w:t>e</w:t>
      </w:r>
      <w:r w:rsidR="004416E1">
        <w:rPr>
          <w:rFonts w:ascii="Palatino Linotype" w:hAnsi="Palatino Linotype"/>
          <w:sz w:val="22"/>
        </w:rPr>
        <w:t xml:space="preserve"> Majluf (</w:t>
      </w:r>
      <w:r w:rsidR="004416E1" w:rsidRPr="00E4187D">
        <w:rPr>
          <w:rFonts w:ascii="Palatino Linotype" w:hAnsi="Palatino Linotype"/>
          <w:sz w:val="22"/>
        </w:rPr>
        <w:t>1984</w:t>
      </w:r>
      <w:r w:rsidR="004416E1">
        <w:rPr>
          <w:rFonts w:ascii="Palatino Linotype" w:hAnsi="Palatino Linotype"/>
          <w:sz w:val="22"/>
        </w:rPr>
        <w:t>)</w:t>
      </w:r>
      <w:r w:rsidR="00711E2F" w:rsidRPr="00711E2F">
        <w:rPr>
          <w:rFonts w:ascii="Palatino Linotype" w:hAnsi="Palatino Linotype" w:cs="Times New Roman"/>
          <w:sz w:val="22"/>
        </w:rPr>
        <w:t>.</w:t>
      </w:r>
    </w:p>
    <w:p w14:paraId="3424A273" w14:textId="77777777" w:rsidR="00BB0CB7" w:rsidRDefault="00BB0CB7" w:rsidP="00711E2F">
      <w:pPr>
        <w:rPr>
          <w:rFonts w:ascii="Palatino Linotype" w:hAnsi="Palatino Linotype" w:cs="Times New Roman"/>
          <w:sz w:val="22"/>
        </w:rPr>
      </w:pPr>
    </w:p>
    <w:p w14:paraId="3424A274" w14:textId="77777777" w:rsidR="00BB0CB7" w:rsidRDefault="00F839FA" w:rsidP="00BB0CB7">
      <w:pPr>
        <w:ind w:firstLine="0"/>
        <w:rPr>
          <w:rFonts w:ascii="Palatino Linotype" w:hAnsi="Palatino Linotype"/>
          <w:b/>
          <w:sz w:val="22"/>
        </w:rPr>
      </w:pPr>
      <w:r w:rsidRPr="00F839FA">
        <w:rPr>
          <w:rFonts w:ascii="Palatino Linotype" w:hAnsi="Palatino Linotype"/>
          <w:b/>
          <w:noProof/>
          <w:sz w:val="22"/>
          <w:lang w:eastAsia="pt-BR"/>
        </w:rPr>
        <w:drawing>
          <wp:anchor distT="0" distB="0" distL="114300" distR="114300" simplePos="0" relativeHeight="251660288" behindDoc="0" locked="0" layoutInCell="1" allowOverlap="1" wp14:anchorId="3424A30B" wp14:editId="4B68164C">
            <wp:simplePos x="0" y="0"/>
            <wp:positionH relativeFrom="page">
              <wp:posOffset>1714500</wp:posOffset>
            </wp:positionH>
            <wp:positionV relativeFrom="paragraph">
              <wp:posOffset>440690</wp:posOffset>
            </wp:positionV>
            <wp:extent cx="4319905" cy="2211705"/>
            <wp:effectExtent l="0" t="0" r="23495" b="17145"/>
            <wp:wrapTopAndBottom/>
            <wp:docPr id="32" name="Objeto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BB0CB7">
        <w:rPr>
          <w:rFonts w:ascii="Palatino Linotype" w:hAnsi="Palatino Linotype"/>
          <w:b/>
          <w:sz w:val="22"/>
        </w:rPr>
        <w:t>4.2</w:t>
      </w:r>
      <w:r w:rsidR="00BB0CB7" w:rsidRPr="00711E2F">
        <w:rPr>
          <w:rFonts w:ascii="Palatino Linotype" w:hAnsi="Palatino Linotype"/>
          <w:b/>
          <w:sz w:val="22"/>
        </w:rPr>
        <w:t xml:space="preserve"> </w:t>
      </w:r>
      <w:r w:rsidR="00AE725D">
        <w:rPr>
          <w:rFonts w:ascii="Palatino Linotype" w:hAnsi="Palatino Linotype"/>
          <w:b/>
          <w:sz w:val="22"/>
        </w:rPr>
        <w:t>Fonte primária de financiamento das companhias.</w:t>
      </w:r>
    </w:p>
    <w:p w14:paraId="3424A275" w14:textId="5BBD0423" w:rsidR="00AE725D" w:rsidRDefault="002A51B1" w:rsidP="00E4187D">
      <w:pPr>
        <w:rPr>
          <w:rFonts w:ascii="Palatino Linotype" w:hAnsi="Palatino Linotype"/>
          <w:sz w:val="22"/>
        </w:rPr>
      </w:pPr>
      <w:r>
        <w:rPr>
          <w:rFonts w:ascii="Palatino Linotype" w:hAnsi="Palatino Linotype"/>
          <w:b/>
          <w:sz w:val="18"/>
          <w:szCs w:val="18"/>
        </w:rPr>
        <w:t xml:space="preserve"> </w:t>
      </w:r>
      <w:r w:rsidR="00E3303D">
        <w:rPr>
          <w:rFonts w:ascii="Palatino Linotype" w:hAnsi="Palatino Linotype"/>
          <w:b/>
          <w:sz w:val="18"/>
          <w:szCs w:val="18"/>
        </w:rPr>
        <w:t xml:space="preserve"> </w:t>
      </w:r>
      <w:r w:rsidR="00AE725D" w:rsidRPr="002F48CC">
        <w:rPr>
          <w:rFonts w:ascii="Palatino Linotype" w:hAnsi="Palatino Linotype"/>
          <w:b/>
          <w:sz w:val="18"/>
          <w:szCs w:val="18"/>
        </w:rPr>
        <w:t>Fonte</w:t>
      </w:r>
      <w:r w:rsidR="00AE725D">
        <w:rPr>
          <w:rFonts w:ascii="Palatino Linotype" w:hAnsi="Palatino Linotype"/>
          <w:sz w:val="18"/>
          <w:szCs w:val="18"/>
        </w:rPr>
        <w:t xml:space="preserve">. </w:t>
      </w:r>
      <w:r w:rsidR="00AE725D" w:rsidRPr="00E4187D">
        <w:rPr>
          <w:rFonts w:ascii="Palatino Linotype" w:hAnsi="Palatino Linotype"/>
          <w:noProof/>
          <w:sz w:val="22"/>
          <w:lang w:eastAsia="pt-BR"/>
        </w:rPr>
        <mc:AlternateContent>
          <mc:Choice Requires="wps">
            <w:drawing>
              <wp:anchor distT="0" distB="0" distL="114300" distR="114300" simplePos="0" relativeHeight="251662336" behindDoc="0" locked="0" layoutInCell="1" allowOverlap="1" wp14:anchorId="3424A30D" wp14:editId="3424A30E">
                <wp:simplePos x="0" y="0"/>
                <wp:positionH relativeFrom="column">
                  <wp:posOffset>151765</wp:posOffset>
                </wp:positionH>
                <wp:positionV relativeFrom="paragraph">
                  <wp:posOffset>22225</wp:posOffset>
                </wp:positionV>
                <wp:extent cx="5695950" cy="228600"/>
                <wp:effectExtent l="0" t="0" r="0" b="0"/>
                <wp:wrapTopAndBottom/>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4A320" w14:textId="77777777" w:rsidR="003D0CE5" w:rsidRPr="002F48CC" w:rsidRDefault="003D0CE5" w:rsidP="00005715">
                            <w:pPr>
                              <w:pStyle w:val="Legenda"/>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1</w:t>
                            </w:r>
                            <w:r w:rsidRPr="002F48CC">
                              <w:rPr>
                                <w:rFonts w:ascii="Palatino Linotype" w:hAnsi="Palatino Linotype"/>
                                <w:sz w:val="18"/>
                                <w:szCs w:val="18"/>
                              </w:rPr>
                              <w:fldChar w:fldCharType="end"/>
                            </w:r>
                            <w:r>
                              <w:rPr>
                                <w:rFonts w:ascii="Palatino Linotype" w:hAnsi="Palatino Linotype"/>
                                <w:b w:val="0"/>
                                <w:sz w:val="18"/>
                                <w:szCs w:val="18"/>
                              </w:rPr>
                              <w:t>:</w:t>
                            </w:r>
                            <w:r w:rsidRPr="002F48CC">
                              <w:rPr>
                                <w:rFonts w:ascii="Palatino Linotype" w:hAnsi="Palatino Linotype"/>
                                <w:b w:val="0"/>
                                <w:sz w:val="18"/>
                                <w:szCs w:val="18"/>
                              </w:rPr>
                              <w:t xml:space="preserve"> Principal fonte de financiamento das companhias abertas no Brasil 2005 – 2015. (Em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424A30D" id="_x0000_t202" coordsize="21600,21600" o:spt="202" path="m,l,21600r21600,l21600,xe">
                <v:stroke joinstyle="miter"/>
                <v:path gradientshapeok="t" o:connecttype="rect"/>
              </v:shapetype>
              <v:shape id="Text Box 34" o:spid="_x0000_s1026" type="#_x0000_t202" style="position:absolute;left:0;text-align:left;margin-left:11.95pt;margin-top:1.75pt;width:44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VLewIAAAA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" stroked="f">
                <v:textbox inset="0,0,0,0">
                  <w:txbxContent>
                    <w:p w14:paraId="3424A320" w14:textId="77777777" w:rsidR="003D0CE5" w:rsidRPr="002F48CC" w:rsidRDefault="003D0CE5" w:rsidP="00005715">
                      <w:pPr>
                        <w:pStyle w:val="Legenda"/>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1</w:t>
                      </w:r>
                      <w:r w:rsidRPr="002F48CC">
                        <w:rPr>
                          <w:rFonts w:ascii="Palatino Linotype" w:hAnsi="Palatino Linotype"/>
                          <w:sz w:val="18"/>
                          <w:szCs w:val="18"/>
                        </w:rPr>
                        <w:fldChar w:fldCharType="end"/>
                      </w:r>
                      <w:r>
                        <w:rPr>
                          <w:rFonts w:ascii="Palatino Linotype" w:hAnsi="Palatino Linotype"/>
                          <w:b w:val="0"/>
                          <w:sz w:val="18"/>
                          <w:szCs w:val="18"/>
                        </w:rPr>
                        <w:t>:</w:t>
                      </w:r>
                      <w:r w:rsidRPr="002F48CC">
                        <w:rPr>
                          <w:rFonts w:ascii="Palatino Linotype" w:hAnsi="Palatino Linotype"/>
                          <w:b w:val="0"/>
                          <w:sz w:val="18"/>
                          <w:szCs w:val="18"/>
                        </w:rPr>
                        <w:t xml:space="preserve"> Principal fonte de financiamento das companhias abertas no Brasil 2005 – 2015. (Em %).</w:t>
                      </w:r>
                    </w:p>
                  </w:txbxContent>
                </v:textbox>
                <w10:wrap type="topAndBottom"/>
              </v:shape>
            </w:pict>
          </mc:Fallback>
        </mc:AlternateContent>
      </w:r>
      <w:r w:rsidR="00F1217D">
        <w:rPr>
          <w:rFonts w:ascii="Palatino Linotype" w:hAnsi="Palatino Linotype"/>
          <w:sz w:val="18"/>
          <w:szCs w:val="18"/>
        </w:rPr>
        <w:t>Dados da pesquisa</w:t>
      </w:r>
      <w:r w:rsidR="00E3303D">
        <w:rPr>
          <w:rFonts w:ascii="Palatino Linotype" w:hAnsi="Palatino Linotype"/>
          <w:sz w:val="18"/>
          <w:szCs w:val="18"/>
        </w:rPr>
        <w:t>.</w:t>
      </w:r>
    </w:p>
    <w:p w14:paraId="3424A276" w14:textId="2BF97D70" w:rsidR="00AE725D" w:rsidRDefault="00734EB7" w:rsidP="00734EB7">
      <w:pPr>
        <w:tabs>
          <w:tab w:val="left" w:pos="6320"/>
        </w:tabs>
        <w:rPr>
          <w:rFonts w:ascii="Palatino Linotype" w:hAnsi="Palatino Linotype"/>
          <w:sz w:val="22"/>
        </w:rPr>
      </w:pPr>
      <w:r>
        <w:rPr>
          <w:rFonts w:ascii="Palatino Linotype" w:hAnsi="Palatino Linotype"/>
          <w:sz w:val="22"/>
        </w:rPr>
        <w:tab/>
      </w:r>
    </w:p>
    <w:p w14:paraId="3424A277" w14:textId="77777777" w:rsidR="00AE725D" w:rsidRDefault="00AE725D" w:rsidP="00AE725D">
      <w:pPr>
        <w:pStyle w:val="PargrafodaLista"/>
        <w:ind w:left="0" w:firstLine="709"/>
        <w:rPr>
          <w:rFonts w:ascii="Palatino Linotype" w:hAnsi="Palatino Linotype"/>
          <w:sz w:val="22"/>
        </w:rPr>
      </w:pPr>
      <w:r w:rsidRPr="00E4187D">
        <w:rPr>
          <w:rFonts w:ascii="Palatino Linotype" w:hAnsi="Palatino Linotype"/>
          <w:sz w:val="22"/>
        </w:rPr>
        <w:t>Os resultados apresentados na figura 1 demonstram que as companhias da amostra preferem como fonte primaria de financiamento de seu crescimento o autofinanciamento</w:t>
      </w:r>
      <w:r>
        <w:rPr>
          <w:rFonts w:ascii="Palatino Linotype" w:hAnsi="Palatino Linotype"/>
          <w:sz w:val="22"/>
        </w:rPr>
        <w:t>, onde correspondeu a</w:t>
      </w:r>
      <w:r w:rsidRPr="00E4187D">
        <w:rPr>
          <w:rFonts w:ascii="Palatino Linotype" w:hAnsi="Palatino Linotype"/>
          <w:sz w:val="22"/>
        </w:rPr>
        <w:t xml:space="preserve"> 51% </w:t>
      </w:r>
      <w:r>
        <w:rPr>
          <w:rFonts w:ascii="Palatino Linotype" w:hAnsi="Palatino Linotype"/>
          <w:sz w:val="22"/>
        </w:rPr>
        <w:t>da amostra. C</w:t>
      </w:r>
      <w:r w:rsidRPr="00E4187D">
        <w:rPr>
          <w:rFonts w:ascii="Palatino Linotype" w:hAnsi="Palatino Linotype"/>
          <w:sz w:val="22"/>
        </w:rPr>
        <w:t xml:space="preserve">omo fonte secundária de financiamento, </w:t>
      </w:r>
      <w:r>
        <w:rPr>
          <w:rFonts w:ascii="Palatino Linotype" w:hAnsi="Palatino Linotype"/>
          <w:sz w:val="22"/>
        </w:rPr>
        <w:t xml:space="preserve">está </w:t>
      </w:r>
      <w:r w:rsidRPr="00E4187D">
        <w:rPr>
          <w:rFonts w:ascii="Palatino Linotype" w:hAnsi="Palatino Linotype"/>
          <w:sz w:val="22"/>
        </w:rPr>
        <w:t>a emissão de dívidas,</w:t>
      </w:r>
      <w:r>
        <w:rPr>
          <w:rFonts w:ascii="Palatino Linotype" w:hAnsi="Palatino Linotype"/>
          <w:sz w:val="22"/>
        </w:rPr>
        <w:t xml:space="preserve"> onde, correspondeu</w:t>
      </w:r>
      <w:r w:rsidRPr="00E4187D">
        <w:rPr>
          <w:rFonts w:ascii="Palatino Linotype" w:hAnsi="Palatino Linotype"/>
          <w:sz w:val="22"/>
        </w:rPr>
        <w:t xml:space="preserve"> a 49%. Ressalta-se que</w:t>
      </w:r>
      <w:r>
        <w:rPr>
          <w:rFonts w:ascii="Palatino Linotype" w:hAnsi="Palatino Linotype"/>
          <w:sz w:val="22"/>
        </w:rPr>
        <w:t>,</w:t>
      </w:r>
      <w:r w:rsidRPr="00E4187D">
        <w:rPr>
          <w:rFonts w:ascii="Palatino Linotype" w:hAnsi="Palatino Linotype"/>
          <w:sz w:val="22"/>
        </w:rPr>
        <w:t xml:space="preserve"> ao investigar as fontes primarias de recursos, o financiamen</w:t>
      </w:r>
      <w:r>
        <w:rPr>
          <w:rFonts w:ascii="Palatino Linotype" w:hAnsi="Palatino Linotype"/>
          <w:sz w:val="22"/>
        </w:rPr>
        <w:t>to externo via emissão de ações não apresentaram evidências.</w:t>
      </w:r>
      <w:r w:rsidRPr="00E4187D">
        <w:rPr>
          <w:rFonts w:ascii="Palatino Linotype" w:hAnsi="Palatino Linotype"/>
          <w:sz w:val="22"/>
        </w:rPr>
        <w:t xml:space="preserve"> </w:t>
      </w:r>
    </w:p>
    <w:p w14:paraId="3424A278" w14:textId="77777777" w:rsidR="00005715" w:rsidRPr="00E4187D" w:rsidRDefault="00005715" w:rsidP="00E4187D">
      <w:pPr>
        <w:rPr>
          <w:rFonts w:ascii="Palatino Linotype" w:hAnsi="Palatino Linotype"/>
          <w:sz w:val="22"/>
        </w:rPr>
      </w:pPr>
      <w:r w:rsidRPr="00EB161E">
        <w:rPr>
          <w:rFonts w:ascii="Palatino Linotype" w:hAnsi="Palatino Linotype"/>
          <w:sz w:val="22"/>
        </w:rPr>
        <w:t>A ausência</w:t>
      </w:r>
      <w:r w:rsidR="00EB161E">
        <w:rPr>
          <w:rFonts w:ascii="Palatino Linotype" w:hAnsi="Palatino Linotype"/>
          <w:sz w:val="22"/>
        </w:rPr>
        <w:t xml:space="preserve"> de financiamento através da emissão de ações</w:t>
      </w:r>
      <w:r w:rsidR="00220A8A">
        <w:rPr>
          <w:rFonts w:ascii="Palatino Linotype" w:hAnsi="Palatino Linotype"/>
          <w:sz w:val="22"/>
        </w:rPr>
        <w:t xml:space="preserve"> como fonte primária de investimento, pode</w:t>
      </w:r>
      <w:r w:rsidRPr="00EB161E">
        <w:rPr>
          <w:rFonts w:ascii="Palatino Linotype" w:hAnsi="Palatino Linotype"/>
          <w:sz w:val="22"/>
        </w:rPr>
        <w:t xml:space="preserve"> ser justificada pelos métodos de consistência dos resultados utilizados nos dados em painel</w:t>
      </w:r>
      <w:r w:rsidR="00220A8A">
        <w:rPr>
          <w:rFonts w:ascii="Palatino Linotype" w:hAnsi="Palatino Linotype"/>
          <w:sz w:val="22"/>
        </w:rPr>
        <w:t>, onde,</w:t>
      </w:r>
      <w:r w:rsidR="00220A8A" w:rsidRPr="00EB161E">
        <w:rPr>
          <w:rFonts w:ascii="Palatino Linotype" w:hAnsi="Palatino Linotype"/>
          <w:sz w:val="22"/>
        </w:rPr>
        <w:t xml:space="preserve"> reduziram</w:t>
      </w:r>
      <w:r w:rsidRPr="00EB161E">
        <w:rPr>
          <w:rFonts w:ascii="Palatino Linotype" w:hAnsi="Palatino Linotype"/>
          <w:sz w:val="22"/>
        </w:rPr>
        <w:t xml:space="preserve"> a </w:t>
      </w:r>
      <w:r w:rsidR="00220A8A">
        <w:rPr>
          <w:rFonts w:ascii="Palatino Linotype" w:hAnsi="Palatino Linotype"/>
          <w:sz w:val="22"/>
        </w:rPr>
        <w:t>a</w:t>
      </w:r>
      <w:r w:rsidRPr="00EB161E">
        <w:rPr>
          <w:rFonts w:ascii="Palatino Linotype" w:hAnsi="Palatino Linotype"/>
          <w:sz w:val="22"/>
        </w:rPr>
        <w:t xml:space="preserve">mostra </w:t>
      </w:r>
      <w:r w:rsidR="00220A8A">
        <w:rPr>
          <w:rFonts w:ascii="Palatino Linotype" w:hAnsi="Palatino Linotype"/>
          <w:sz w:val="22"/>
        </w:rPr>
        <w:t>a</w:t>
      </w:r>
      <w:r w:rsidRPr="00EB161E">
        <w:rPr>
          <w:rFonts w:ascii="Palatino Linotype" w:hAnsi="Palatino Linotype"/>
          <w:sz w:val="22"/>
        </w:rPr>
        <w:t xml:space="preserve"> 12,03% da amostra inicial, isto é, 45 companhias.</w:t>
      </w:r>
      <w:r w:rsidRPr="00E4187D">
        <w:rPr>
          <w:rFonts w:ascii="Palatino Linotype" w:hAnsi="Palatino Linotype"/>
          <w:sz w:val="22"/>
        </w:rPr>
        <w:t xml:space="preserve"> </w:t>
      </w:r>
    </w:p>
    <w:p w14:paraId="3424A279" w14:textId="3A3B986B" w:rsidR="00005715" w:rsidRPr="00E4187D" w:rsidRDefault="00005715" w:rsidP="00E4187D">
      <w:pPr>
        <w:rPr>
          <w:rFonts w:ascii="Palatino Linotype" w:hAnsi="Palatino Linotype"/>
          <w:sz w:val="22"/>
        </w:rPr>
      </w:pPr>
      <w:r w:rsidRPr="00E4187D">
        <w:rPr>
          <w:rFonts w:ascii="Palatino Linotype" w:hAnsi="Palatino Linotype"/>
          <w:sz w:val="22"/>
        </w:rPr>
        <w:t>Ressalta-se que outras pesquisas que utilizaram a mesma metodologia tiveram suas amostras reduzidas. Por exemplo, Zonenschain (1998) se propôs a estudar 216 empresas industriais de c</w:t>
      </w:r>
      <w:r w:rsidR="00220A8A">
        <w:rPr>
          <w:rFonts w:ascii="Palatino Linotype" w:hAnsi="Palatino Linotype"/>
          <w:sz w:val="22"/>
        </w:rPr>
        <w:t>apital aberto nos anos de 1989</w:t>
      </w:r>
      <w:r w:rsidR="00734EB7">
        <w:rPr>
          <w:rFonts w:ascii="Palatino Linotype" w:hAnsi="Palatino Linotype"/>
          <w:sz w:val="22"/>
        </w:rPr>
        <w:t xml:space="preserve"> a</w:t>
      </w:r>
      <w:r w:rsidRPr="00E4187D">
        <w:rPr>
          <w:rFonts w:ascii="Palatino Linotype" w:hAnsi="Palatino Linotype"/>
          <w:sz w:val="22"/>
        </w:rPr>
        <w:t xml:space="preserve"> 1996, entretanto, só foi possível analisar 97 empresas. Nesta pesquisa, ocorreu uma redução de companhias bem maior devido ao período de análise e aos diversos setores de companhias negociadas na BM&amp;FBovespa.</w:t>
      </w:r>
    </w:p>
    <w:p w14:paraId="3424A27A"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entanto, neste primeiro momento</w:t>
      </w:r>
      <w:r w:rsidR="00220A8A">
        <w:rPr>
          <w:rFonts w:ascii="Palatino Linotype" w:hAnsi="Palatino Linotype"/>
          <w:sz w:val="22"/>
        </w:rPr>
        <w:t xml:space="preserve"> de análise</w:t>
      </w:r>
      <w:r w:rsidRPr="00E4187D">
        <w:rPr>
          <w:rFonts w:ascii="Palatino Linotype" w:hAnsi="Palatino Linotype"/>
          <w:sz w:val="22"/>
        </w:rPr>
        <w:t xml:space="preserve">, já </w:t>
      </w:r>
      <w:r w:rsidR="00220A8A">
        <w:rPr>
          <w:rFonts w:ascii="Palatino Linotype" w:hAnsi="Palatino Linotype"/>
          <w:sz w:val="22"/>
        </w:rPr>
        <w:t>se torna</w:t>
      </w:r>
      <w:r w:rsidRPr="00E4187D">
        <w:rPr>
          <w:rFonts w:ascii="Palatino Linotype" w:hAnsi="Palatino Linotype"/>
          <w:sz w:val="22"/>
        </w:rPr>
        <w:t xml:space="preserve"> possível observar a influência da </w:t>
      </w:r>
      <w:r w:rsidRPr="00220A8A">
        <w:rPr>
          <w:rFonts w:ascii="Palatino Linotype" w:hAnsi="Palatino Linotype"/>
          <w:i/>
          <w:sz w:val="22"/>
        </w:rPr>
        <w:t>Pecking Order Theory</w:t>
      </w:r>
      <w:r w:rsidRPr="00E4187D">
        <w:rPr>
          <w:rFonts w:ascii="Palatino Linotype" w:hAnsi="Palatino Linotype"/>
          <w:sz w:val="22"/>
        </w:rPr>
        <w:t xml:space="preserve"> com sua hierarquização de fontes de financiamento (Myers &amp; Majluf, 1984), sendo o autofinanciamento a principal opção de capitação de recurso</w:t>
      </w:r>
      <w:r w:rsidR="00220A8A">
        <w:rPr>
          <w:rFonts w:ascii="Palatino Linotype" w:hAnsi="Palatino Linotype"/>
          <w:sz w:val="22"/>
        </w:rPr>
        <w:t>s,</w:t>
      </w:r>
      <w:r w:rsidR="00220A8A" w:rsidRPr="00E4187D">
        <w:rPr>
          <w:rFonts w:ascii="Palatino Linotype" w:hAnsi="Palatino Linotype"/>
          <w:sz w:val="22"/>
        </w:rPr>
        <w:t xml:space="preserve"> </w:t>
      </w:r>
      <w:r w:rsidRPr="00E4187D">
        <w:rPr>
          <w:rFonts w:ascii="Palatino Linotype" w:hAnsi="Palatino Linotype"/>
          <w:sz w:val="22"/>
        </w:rPr>
        <w:t xml:space="preserve">posteriormente </w:t>
      </w:r>
      <w:r w:rsidR="00220A8A">
        <w:rPr>
          <w:rFonts w:ascii="Palatino Linotype" w:hAnsi="Palatino Linotype"/>
          <w:sz w:val="22"/>
        </w:rPr>
        <w:t xml:space="preserve">está </w:t>
      </w:r>
      <w:r w:rsidRPr="00E4187D">
        <w:rPr>
          <w:rFonts w:ascii="Palatino Linotype" w:hAnsi="Palatino Linotype"/>
          <w:sz w:val="22"/>
        </w:rPr>
        <w:t xml:space="preserve">o endividamento. </w:t>
      </w:r>
    </w:p>
    <w:p w14:paraId="64891130" w14:textId="1D1E10E4" w:rsidR="002106A0" w:rsidRDefault="002106A0" w:rsidP="00AE725D">
      <w:pPr>
        <w:ind w:firstLine="0"/>
        <w:rPr>
          <w:rFonts w:ascii="Palatino Linotype" w:hAnsi="Palatino Linotype"/>
          <w:b/>
          <w:sz w:val="22"/>
        </w:rPr>
      </w:pPr>
    </w:p>
    <w:p w14:paraId="257AC921" w14:textId="6C5735A4" w:rsidR="002106A0" w:rsidRDefault="002106A0" w:rsidP="00AE725D">
      <w:pPr>
        <w:ind w:firstLine="0"/>
        <w:rPr>
          <w:rFonts w:ascii="Palatino Linotype" w:hAnsi="Palatino Linotype"/>
          <w:b/>
          <w:sz w:val="22"/>
        </w:rPr>
      </w:pPr>
    </w:p>
    <w:p w14:paraId="68B1D202" w14:textId="5A18BBD6" w:rsidR="002106A0" w:rsidRDefault="002106A0" w:rsidP="00AE725D">
      <w:pPr>
        <w:ind w:firstLine="0"/>
        <w:rPr>
          <w:rFonts w:ascii="Palatino Linotype" w:hAnsi="Palatino Linotype"/>
          <w:b/>
          <w:sz w:val="22"/>
        </w:rPr>
      </w:pPr>
    </w:p>
    <w:p w14:paraId="01EAE36D" w14:textId="3CE9A476" w:rsidR="002106A0" w:rsidRDefault="002106A0" w:rsidP="00AE725D">
      <w:pPr>
        <w:ind w:firstLine="0"/>
        <w:rPr>
          <w:rFonts w:ascii="Palatino Linotype" w:hAnsi="Palatino Linotype"/>
          <w:b/>
          <w:sz w:val="22"/>
        </w:rPr>
      </w:pPr>
    </w:p>
    <w:p w14:paraId="6A5721CD" w14:textId="586A47DB" w:rsidR="002106A0" w:rsidRDefault="002106A0" w:rsidP="00AE725D">
      <w:pPr>
        <w:ind w:firstLine="0"/>
        <w:rPr>
          <w:rFonts w:ascii="Palatino Linotype" w:hAnsi="Palatino Linotype"/>
          <w:b/>
          <w:sz w:val="22"/>
        </w:rPr>
      </w:pPr>
    </w:p>
    <w:p w14:paraId="00538EE7" w14:textId="10076A13" w:rsidR="002106A0" w:rsidRDefault="002106A0" w:rsidP="00AE725D">
      <w:pPr>
        <w:ind w:firstLine="0"/>
        <w:rPr>
          <w:rFonts w:ascii="Palatino Linotype" w:hAnsi="Palatino Linotype"/>
          <w:b/>
          <w:sz w:val="22"/>
        </w:rPr>
      </w:pPr>
    </w:p>
    <w:p w14:paraId="077D235D" w14:textId="77777777" w:rsidR="002106A0" w:rsidRDefault="002106A0" w:rsidP="00AE725D">
      <w:pPr>
        <w:ind w:firstLine="0"/>
        <w:rPr>
          <w:rFonts w:ascii="Palatino Linotype" w:hAnsi="Palatino Linotype"/>
          <w:b/>
          <w:sz w:val="22"/>
        </w:rPr>
      </w:pPr>
    </w:p>
    <w:p w14:paraId="3424A27C" w14:textId="55EF9DE4" w:rsidR="00AE725D" w:rsidRPr="00711E2F" w:rsidRDefault="00AE725D" w:rsidP="00AE725D">
      <w:pPr>
        <w:ind w:firstLine="0"/>
        <w:rPr>
          <w:rFonts w:ascii="Palatino Linotype" w:hAnsi="Palatino Linotype"/>
          <w:b/>
          <w:sz w:val="22"/>
        </w:rPr>
      </w:pPr>
      <w:r>
        <w:rPr>
          <w:rFonts w:ascii="Palatino Linotype" w:hAnsi="Palatino Linotype"/>
          <w:b/>
          <w:sz w:val="22"/>
        </w:rPr>
        <w:lastRenderedPageBreak/>
        <w:t>4.3</w:t>
      </w:r>
      <w:r w:rsidRPr="00711E2F">
        <w:rPr>
          <w:rFonts w:ascii="Palatino Linotype" w:hAnsi="Palatino Linotype"/>
          <w:b/>
          <w:sz w:val="22"/>
        </w:rPr>
        <w:t xml:space="preserve"> </w:t>
      </w:r>
      <w:r>
        <w:rPr>
          <w:rFonts w:ascii="Palatino Linotype" w:hAnsi="Palatino Linotype"/>
          <w:b/>
          <w:sz w:val="22"/>
        </w:rPr>
        <w:t>Fonte secundária de financiamento das companhias.</w:t>
      </w:r>
    </w:p>
    <w:p w14:paraId="3424A27D" w14:textId="77777777" w:rsidR="00005715" w:rsidRPr="00E4187D" w:rsidRDefault="002F48CC" w:rsidP="00E4187D">
      <w:pPr>
        <w:pStyle w:val="PargrafodaLista"/>
        <w:ind w:left="0" w:firstLine="709"/>
        <w:jc w:val="left"/>
        <w:rPr>
          <w:rFonts w:ascii="Palatino Linotype" w:hAnsi="Palatino Linotype"/>
          <w:sz w:val="22"/>
          <w:szCs w:val="22"/>
        </w:rPr>
      </w:pPr>
      <w:r w:rsidRPr="00E4187D">
        <w:rPr>
          <w:rFonts w:ascii="Palatino Linotype" w:hAnsi="Palatino Linotype"/>
          <w:noProof/>
          <w:sz w:val="22"/>
          <w:szCs w:val="22"/>
          <w:lang w:eastAsia="pt-BR"/>
        </w:rPr>
        <mc:AlternateContent>
          <mc:Choice Requires="wps">
            <w:drawing>
              <wp:anchor distT="0" distB="0" distL="114300" distR="114300" simplePos="0" relativeHeight="251663360" behindDoc="0" locked="0" layoutInCell="1" allowOverlap="1" wp14:anchorId="3424A30F" wp14:editId="3424A310">
                <wp:simplePos x="0" y="0"/>
                <wp:positionH relativeFrom="column">
                  <wp:posOffset>396240</wp:posOffset>
                </wp:positionH>
                <wp:positionV relativeFrom="paragraph">
                  <wp:posOffset>168275</wp:posOffset>
                </wp:positionV>
                <wp:extent cx="5095875" cy="161925"/>
                <wp:effectExtent l="0" t="0" r="9525" b="9525"/>
                <wp:wrapNone/>
                <wp:docPr id="4" name="Caixa de texto 4"/>
                <wp:cNvGraphicFramePr/>
                <a:graphic xmlns:a="http://schemas.openxmlformats.org/drawingml/2006/main">
                  <a:graphicData uri="http://schemas.microsoft.com/office/word/2010/wordprocessingShape">
                    <wps:wsp>
                      <wps:cNvSpPr txBox="1"/>
                      <wps:spPr>
                        <a:xfrm>
                          <a:off x="0" y="0"/>
                          <a:ext cx="5095875" cy="161925"/>
                        </a:xfrm>
                        <a:prstGeom prst="rect">
                          <a:avLst/>
                        </a:prstGeom>
                        <a:solidFill>
                          <a:prstClr val="white"/>
                        </a:solidFill>
                        <a:ln>
                          <a:noFill/>
                        </a:ln>
                        <a:effectLst/>
                      </wps:spPr>
                      <wps:txbx>
                        <w:txbxContent>
                          <w:p w14:paraId="3424A321" w14:textId="77777777" w:rsidR="003D0CE5" w:rsidRPr="002F48CC" w:rsidRDefault="003D0CE5" w:rsidP="00005715">
                            <w:pPr>
                              <w:pStyle w:val="Legenda"/>
                              <w:ind w:firstLine="0"/>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2</w:t>
                            </w:r>
                            <w:r w:rsidRPr="002F48CC">
                              <w:rPr>
                                <w:rFonts w:ascii="Palatino Linotype" w:hAnsi="Palatino Linotype"/>
                                <w:sz w:val="18"/>
                                <w:szCs w:val="18"/>
                              </w:rPr>
                              <w:fldChar w:fldCharType="end"/>
                            </w:r>
                            <w:r>
                              <w:rPr>
                                <w:rFonts w:ascii="Palatino Linotype" w:hAnsi="Palatino Linotype"/>
                                <w:sz w:val="18"/>
                                <w:szCs w:val="18"/>
                              </w:rPr>
                              <w:t>:</w:t>
                            </w:r>
                            <w:r w:rsidRPr="002F48CC">
                              <w:rPr>
                                <w:rFonts w:ascii="Palatino Linotype" w:hAnsi="Palatino Linotype"/>
                                <w:b w:val="0"/>
                                <w:sz w:val="18"/>
                                <w:szCs w:val="18"/>
                              </w:rPr>
                              <w:t xml:space="preserve"> Fonte secundária de financiamento das companhias abertas no Brasil 2005 – 2015 (Em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24A30F" id="Caixa de texto 4" o:spid="_x0000_s1027" type="#_x0000_t202" style="position:absolute;left:0;text-align:left;margin-left:31.2pt;margin-top:13.25pt;width:401.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" stroked="f">
                <v:textbox inset="0,0,0,0">
                  <w:txbxContent>
                    <w:p w14:paraId="3424A321" w14:textId="77777777" w:rsidR="003D0CE5" w:rsidRPr="002F48CC" w:rsidRDefault="003D0CE5" w:rsidP="00005715">
                      <w:pPr>
                        <w:pStyle w:val="Legenda"/>
                        <w:ind w:firstLine="0"/>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2</w:t>
                      </w:r>
                      <w:r w:rsidRPr="002F48CC">
                        <w:rPr>
                          <w:rFonts w:ascii="Palatino Linotype" w:hAnsi="Palatino Linotype"/>
                          <w:sz w:val="18"/>
                          <w:szCs w:val="18"/>
                        </w:rPr>
                        <w:fldChar w:fldCharType="end"/>
                      </w:r>
                      <w:r>
                        <w:rPr>
                          <w:rFonts w:ascii="Palatino Linotype" w:hAnsi="Palatino Linotype"/>
                          <w:sz w:val="18"/>
                          <w:szCs w:val="18"/>
                        </w:rPr>
                        <w:t>:</w:t>
                      </w:r>
                      <w:r w:rsidRPr="002F48CC">
                        <w:rPr>
                          <w:rFonts w:ascii="Palatino Linotype" w:hAnsi="Palatino Linotype"/>
                          <w:b w:val="0"/>
                          <w:sz w:val="18"/>
                          <w:szCs w:val="18"/>
                        </w:rPr>
                        <w:t xml:space="preserve"> Fonte secundária de financiamento das companhias abertas no Brasil 2005 – 2015 (Em %).</w:t>
                      </w:r>
                    </w:p>
                  </w:txbxContent>
                </v:textbox>
              </v:shape>
            </w:pict>
          </mc:Fallback>
        </mc:AlternateContent>
      </w:r>
      <w:r w:rsidR="00005715" w:rsidRPr="00E4187D">
        <w:rPr>
          <w:rFonts w:ascii="Palatino Linotype" w:hAnsi="Palatino Linotype"/>
          <w:sz w:val="22"/>
          <w:szCs w:val="22"/>
        </w:rPr>
        <w:tab/>
      </w:r>
    </w:p>
    <w:p w14:paraId="3424A27E" w14:textId="77777777" w:rsidR="00005715" w:rsidRPr="00E4187D" w:rsidRDefault="00005715" w:rsidP="00E4187D">
      <w:pPr>
        <w:pStyle w:val="PargrafodaLista"/>
        <w:ind w:left="0" w:firstLine="709"/>
        <w:rPr>
          <w:rFonts w:ascii="Palatino Linotype" w:hAnsi="Palatino Linotype"/>
          <w:sz w:val="22"/>
          <w:szCs w:val="22"/>
        </w:rPr>
      </w:pPr>
      <w:r w:rsidRPr="00E4187D">
        <w:rPr>
          <w:rFonts w:ascii="Palatino Linotype" w:hAnsi="Palatino Linotype"/>
          <w:noProof/>
          <w:sz w:val="22"/>
          <w:szCs w:val="22"/>
          <w:lang w:eastAsia="pt-BR"/>
        </w:rPr>
        <w:drawing>
          <wp:anchor distT="0" distB="0" distL="114300" distR="114300" simplePos="0" relativeHeight="251659264" behindDoc="0" locked="0" layoutInCell="1" allowOverlap="1" wp14:anchorId="3424A311" wp14:editId="61468F7C">
            <wp:simplePos x="0" y="0"/>
            <wp:positionH relativeFrom="column">
              <wp:posOffset>510540</wp:posOffset>
            </wp:positionH>
            <wp:positionV relativeFrom="paragraph">
              <wp:posOffset>205740</wp:posOffset>
            </wp:positionV>
            <wp:extent cx="4514850" cy="2209800"/>
            <wp:effectExtent l="0" t="0" r="19050" b="19050"/>
            <wp:wrapTopAndBottom/>
            <wp:docPr id="31" name="Objeto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424A27F" w14:textId="77777777" w:rsidR="00005715" w:rsidRPr="002F48CC" w:rsidRDefault="00005715" w:rsidP="00E4187D">
      <w:pPr>
        <w:pStyle w:val="PargrafodaLista"/>
        <w:ind w:left="0" w:firstLine="709"/>
        <w:jc w:val="left"/>
        <w:rPr>
          <w:rFonts w:ascii="Palatino Linotype" w:hAnsi="Palatino Linotype"/>
          <w:sz w:val="18"/>
          <w:szCs w:val="18"/>
        </w:rPr>
      </w:pPr>
      <w:r w:rsidRPr="00E4187D">
        <w:rPr>
          <w:rFonts w:ascii="Palatino Linotype" w:hAnsi="Palatino Linotype"/>
          <w:sz w:val="22"/>
          <w:szCs w:val="22"/>
        </w:rPr>
        <w:t xml:space="preserve">         </w:t>
      </w:r>
      <w:r w:rsidRPr="002F48CC">
        <w:rPr>
          <w:rFonts w:ascii="Palatino Linotype" w:hAnsi="Palatino Linotype"/>
          <w:b/>
          <w:sz w:val="22"/>
          <w:szCs w:val="22"/>
        </w:rPr>
        <w:t xml:space="preserve"> </w:t>
      </w:r>
      <w:r w:rsidRPr="002F48CC">
        <w:rPr>
          <w:rFonts w:ascii="Palatino Linotype" w:hAnsi="Palatino Linotype"/>
          <w:b/>
          <w:sz w:val="18"/>
          <w:szCs w:val="18"/>
        </w:rPr>
        <w:t>Fonte</w:t>
      </w:r>
      <w:r w:rsidR="00A15D72">
        <w:rPr>
          <w:rFonts w:ascii="Palatino Linotype" w:hAnsi="Palatino Linotype"/>
          <w:sz w:val="18"/>
          <w:szCs w:val="18"/>
        </w:rPr>
        <w:t xml:space="preserve">. </w:t>
      </w:r>
      <w:r w:rsidR="00E3303D">
        <w:rPr>
          <w:rFonts w:ascii="Palatino Linotype" w:hAnsi="Palatino Linotype"/>
          <w:sz w:val="18"/>
          <w:szCs w:val="18"/>
        </w:rPr>
        <w:t>Dados da pesquisa.</w:t>
      </w:r>
    </w:p>
    <w:p w14:paraId="3424A280" w14:textId="77777777" w:rsidR="002F48CC" w:rsidRDefault="002F48CC" w:rsidP="00E4187D">
      <w:pPr>
        <w:rPr>
          <w:rFonts w:ascii="Palatino Linotype" w:hAnsi="Palatino Linotype"/>
          <w:sz w:val="22"/>
        </w:rPr>
      </w:pPr>
    </w:p>
    <w:p w14:paraId="3424A281" w14:textId="77777777" w:rsidR="00F305AC" w:rsidRDefault="00005715" w:rsidP="00E4187D">
      <w:pPr>
        <w:rPr>
          <w:rFonts w:ascii="Palatino Linotype" w:hAnsi="Palatino Linotype"/>
          <w:sz w:val="22"/>
        </w:rPr>
      </w:pPr>
      <w:r w:rsidRPr="00E4187D">
        <w:rPr>
          <w:rFonts w:ascii="Palatino Linotype" w:hAnsi="Palatino Linotype"/>
          <w:sz w:val="22"/>
        </w:rPr>
        <w:t>A figura 2 demonstra que</w:t>
      </w:r>
      <w:r w:rsidR="00F05858">
        <w:rPr>
          <w:rFonts w:ascii="Palatino Linotype" w:hAnsi="Palatino Linotype"/>
          <w:sz w:val="22"/>
        </w:rPr>
        <w:t>,</w:t>
      </w:r>
      <w:r w:rsidRPr="00E4187D">
        <w:rPr>
          <w:rFonts w:ascii="Palatino Linotype" w:hAnsi="Palatino Linotype"/>
          <w:sz w:val="22"/>
        </w:rPr>
        <w:t xml:space="preserve"> ao investigar as companhias que optam pela fonte de financiamento por meio da emissão de dívidas</w:t>
      </w:r>
      <w:r w:rsidR="00F05858">
        <w:rPr>
          <w:rFonts w:ascii="Palatino Linotype" w:hAnsi="Palatino Linotype"/>
          <w:sz w:val="22"/>
        </w:rPr>
        <w:t>, onde, correspondeu</w:t>
      </w:r>
      <w:r w:rsidRPr="00E4187D">
        <w:rPr>
          <w:rFonts w:ascii="Palatino Linotype" w:hAnsi="Palatino Linotype"/>
          <w:sz w:val="22"/>
        </w:rPr>
        <w:t xml:space="preserve"> a 51%, </w:t>
      </w:r>
      <w:r w:rsidR="00F05858">
        <w:rPr>
          <w:rFonts w:ascii="Palatino Linotype" w:hAnsi="Palatino Linotype"/>
          <w:sz w:val="22"/>
        </w:rPr>
        <w:t xml:space="preserve">a </w:t>
      </w:r>
      <w:r w:rsidR="00F305AC">
        <w:rPr>
          <w:rFonts w:ascii="Palatino Linotype" w:hAnsi="Palatino Linotype"/>
          <w:sz w:val="22"/>
        </w:rPr>
        <w:t>figura</w:t>
      </w:r>
      <w:r w:rsidR="00F05858">
        <w:rPr>
          <w:rFonts w:ascii="Palatino Linotype" w:hAnsi="Palatino Linotype"/>
          <w:sz w:val="22"/>
        </w:rPr>
        <w:t xml:space="preserve"> apresenta </w:t>
      </w:r>
      <w:r w:rsidR="00F305AC">
        <w:rPr>
          <w:rFonts w:ascii="Palatino Linotype" w:hAnsi="Palatino Linotype"/>
          <w:sz w:val="22"/>
        </w:rPr>
        <w:t xml:space="preserve">que, é preferível para estas companhias </w:t>
      </w:r>
      <w:r w:rsidR="00F05858">
        <w:rPr>
          <w:rFonts w:ascii="Palatino Linotype" w:hAnsi="Palatino Linotype"/>
          <w:sz w:val="22"/>
        </w:rPr>
        <w:t>como segunda</w:t>
      </w:r>
      <w:r w:rsidR="00FF4CFF">
        <w:rPr>
          <w:rFonts w:ascii="Palatino Linotype" w:hAnsi="Palatino Linotype"/>
          <w:sz w:val="22"/>
        </w:rPr>
        <w:t xml:space="preserve"> </w:t>
      </w:r>
      <w:r w:rsidRPr="00E4187D">
        <w:rPr>
          <w:rFonts w:ascii="Palatino Linotype" w:hAnsi="Palatino Linotype"/>
          <w:sz w:val="22"/>
        </w:rPr>
        <w:t xml:space="preserve">opção </w:t>
      </w:r>
      <w:r w:rsidR="00F05858">
        <w:rPr>
          <w:rFonts w:ascii="Palatino Linotype" w:hAnsi="Palatino Linotype"/>
          <w:sz w:val="22"/>
        </w:rPr>
        <w:t>de</w:t>
      </w:r>
      <w:r w:rsidRPr="00E4187D">
        <w:rPr>
          <w:rFonts w:ascii="Palatino Linotype" w:hAnsi="Palatino Linotype"/>
          <w:sz w:val="22"/>
        </w:rPr>
        <w:t xml:space="preserve"> </w:t>
      </w:r>
      <w:r w:rsidR="00F05858">
        <w:rPr>
          <w:rFonts w:ascii="Palatino Linotype" w:hAnsi="Palatino Linotype"/>
          <w:sz w:val="22"/>
        </w:rPr>
        <w:t>financiamento dos investimentos</w:t>
      </w:r>
      <w:r w:rsidRPr="00E4187D">
        <w:rPr>
          <w:rFonts w:ascii="Palatino Linotype" w:hAnsi="Palatino Linotype"/>
          <w:sz w:val="22"/>
        </w:rPr>
        <w:t>, o financiamento externo via emissão de ações</w:t>
      </w:r>
      <w:r w:rsidR="00F05858">
        <w:rPr>
          <w:rFonts w:ascii="Palatino Linotype" w:hAnsi="Palatino Linotype"/>
          <w:sz w:val="22"/>
        </w:rPr>
        <w:t xml:space="preserve">, </w:t>
      </w:r>
      <w:r w:rsidR="00F305AC">
        <w:rPr>
          <w:rFonts w:ascii="Palatino Linotype" w:hAnsi="Palatino Linotype"/>
          <w:sz w:val="22"/>
        </w:rPr>
        <w:t>onde</w:t>
      </w:r>
      <w:r w:rsidR="00F05858">
        <w:rPr>
          <w:rFonts w:ascii="Palatino Linotype" w:hAnsi="Palatino Linotype"/>
          <w:sz w:val="22"/>
        </w:rPr>
        <w:t>,</w:t>
      </w:r>
      <w:r w:rsidRPr="00E4187D">
        <w:rPr>
          <w:rFonts w:ascii="Palatino Linotype" w:hAnsi="Palatino Linotype"/>
          <w:sz w:val="22"/>
        </w:rPr>
        <w:t xml:space="preserve"> </w:t>
      </w:r>
      <w:r w:rsidR="00F05858">
        <w:rPr>
          <w:rFonts w:ascii="Palatino Linotype" w:hAnsi="Palatino Linotype"/>
          <w:sz w:val="22"/>
        </w:rPr>
        <w:t xml:space="preserve">correspondeu </w:t>
      </w:r>
      <w:r w:rsidR="00FF4CFF">
        <w:rPr>
          <w:rFonts w:ascii="Palatino Linotype" w:hAnsi="Palatino Linotype"/>
          <w:sz w:val="22"/>
        </w:rPr>
        <w:t>a</w:t>
      </w:r>
      <w:r w:rsidRPr="00E4187D">
        <w:rPr>
          <w:rFonts w:ascii="Palatino Linotype" w:hAnsi="Palatino Linotype"/>
          <w:sz w:val="22"/>
        </w:rPr>
        <w:t xml:space="preserve"> 36%</w:t>
      </w:r>
      <w:r w:rsidR="00F05858">
        <w:rPr>
          <w:rFonts w:ascii="Palatino Linotype" w:hAnsi="Palatino Linotype"/>
          <w:sz w:val="22"/>
        </w:rPr>
        <w:t>.</w:t>
      </w:r>
    </w:p>
    <w:p w14:paraId="3424A282"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 </w:t>
      </w:r>
      <w:r w:rsidR="00F05858">
        <w:rPr>
          <w:rFonts w:ascii="Palatino Linotype" w:hAnsi="Palatino Linotype"/>
          <w:sz w:val="22"/>
        </w:rPr>
        <w:t>Com porcentagem menor, se encontra o</w:t>
      </w:r>
      <w:r w:rsidRPr="00E4187D">
        <w:rPr>
          <w:rFonts w:ascii="Palatino Linotype" w:hAnsi="Palatino Linotype"/>
          <w:sz w:val="22"/>
        </w:rPr>
        <w:t xml:space="preserve"> autofinanciamento</w:t>
      </w:r>
      <w:r w:rsidR="00F05858">
        <w:rPr>
          <w:rFonts w:ascii="Palatino Linotype" w:hAnsi="Palatino Linotype"/>
          <w:sz w:val="22"/>
        </w:rPr>
        <w:t>,</w:t>
      </w:r>
      <w:r w:rsidRPr="00E4187D">
        <w:rPr>
          <w:rFonts w:ascii="Palatino Linotype" w:hAnsi="Palatino Linotype"/>
          <w:sz w:val="22"/>
        </w:rPr>
        <w:t xml:space="preserve"> </w:t>
      </w:r>
      <w:r w:rsidR="00F05858">
        <w:rPr>
          <w:rFonts w:ascii="Palatino Linotype" w:hAnsi="Palatino Linotype"/>
          <w:sz w:val="22"/>
        </w:rPr>
        <w:t>onde representou a</w:t>
      </w:r>
      <w:r w:rsidRPr="00E4187D">
        <w:rPr>
          <w:rFonts w:ascii="Palatino Linotype" w:hAnsi="Palatino Linotype"/>
          <w:sz w:val="22"/>
        </w:rPr>
        <w:t xml:space="preserve"> 13%</w:t>
      </w:r>
      <w:r w:rsidR="00F05858">
        <w:rPr>
          <w:rFonts w:ascii="Palatino Linotype" w:hAnsi="Palatino Linotype"/>
          <w:sz w:val="22"/>
        </w:rPr>
        <w:t xml:space="preserve"> da amostra</w:t>
      </w:r>
      <w:r w:rsidRPr="00E4187D">
        <w:rPr>
          <w:rFonts w:ascii="Palatino Linotype" w:hAnsi="Palatino Linotype"/>
          <w:sz w:val="22"/>
        </w:rPr>
        <w:t xml:space="preserve">. Ou seja, daqueles 49% que adotaram como forma de financiamento a emissão de dívidas, ao </w:t>
      </w:r>
      <w:r w:rsidR="00E77A18">
        <w:rPr>
          <w:rFonts w:ascii="Palatino Linotype" w:hAnsi="Palatino Linotype"/>
          <w:sz w:val="22"/>
        </w:rPr>
        <w:t xml:space="preserve">se </w:t>
      </w:r>
      <w:r w:rsidRPr="00E4187D">
        <w:rPr>
          <w:rFonts w:ascii="Palatino Linotype" w:hAnsi="Palatino Linotype"/>
          <w:sz w:val="22"/>
        </w:rPr>
        <w:t xml:space="preserve">optar por outras formas de financiamentos, </w:t>
      </w:r>
      <w:r w:rsidR="00FF4CFF">
        <w:rPr>
          <w:rFonts w:ascii="Palatino Linotype" w:hAnsi="Palatino Linotype"/>
          <w:sz w:val="22"/>
        </w:rPr>
        <w:t xml:space="preserve">se </w:t>
      </w:r>
      <w:r w:rsidRPr="00E4187D">
        <w:rPr>
          <w:rFonts w:ascii="Palatino Linotype" w:hAnsi="Palatino Linotype"/>
          <w:sz w:val="22"/>
        </w:rPr>
        <w:t xml:space="preserve">têm </w:t>
      </w:r>
      <w:r w:rsidR="00FF4CFF">
        <w:rPr>
          <w:rFonts w:ascii="Palatino Linotype" w:hAnsi="Palatino Linotype"/>
          <w:sz w:val="22"/>
        </w:rPr>
        <w:t xml:space="preserve">como </w:t>
      </w:r>
      <w:r w:rsidRPr="00E4187D">
        <w:rPr>
          <w:rFonts w:ascii="Palatino Linotype" w:hAnsi="Palatino Linotype"/>
          <w:sz w:val="22"/>
        </w:rPr>
        <w:t xml:space="preserve">preferência </w:t>
      </w:r>
      <w:r w:rsidR="00FF4CFF">
        <w:rPr>
          <w:rFonts w:ascii="Palatino Linotype" w:hAnsi="Palatino Linotype"/>
          <w:sz w:val="22"/>
        </w:rPr>
        <w:t>a</w:t>
      </w:r>
      <w:r w:rsidRPr="00E4187D">
        <w:rPr>
          <w:rFonts w:ascii="Palatino Linotype" w:hAnsi="Palatino Linotype"/>
          <w:sz w:val="22"/>
        </w:rPr>
        <w:t xml:space="preserve"> emissão de ações (36%) e posteriormente </w:t>
      </w:r>
      <w:r w:rsidR="00FF4CFF">
        <w:rPr>
          <w:rFonts w:ascii="Palatino Linotype" w:hAnsi="Palatino Linotype"/>
          <w:sz w:val="22"/>
        </w:rPr>
        <w:t>o</w:t>
      </w:r>
      <w:r w:rsidRPr="00E4187D">
        <w:rPr>
          <w:rFonts w:ascii="Palatino Linotype" w:hAnsi="Palatino Linotype"/>
          <w:sz w:val="22"/>
        </w:rPr>
        <w:t xml:space="preserve"> autofinanciamento (13%)</w:t>
      </w:r>
      <w:r w:rsidR="00F305AC">
        <w:rPr>
          <w:rFonts w:ascii="Palatino Linotype" w:hAnsi="Palatino Linotype"/>
          <w:sz w:val="22"/>
        </w:rPr>
        <w:t>.</w:t>
      </w:r>
      <w:r w:rsidRPr="00E4187D">
        <w:rPr>
          <w:rFonts w:ascii="Palatino Linotype" w:hAnsi="Palatino Linotype"/>
          <w:sz w:val="22"/>
        </w:rPr>
        <w:t xml:space="preserve"> </w:t>
      </w:r>
      <w:r w:rsidR="00F305AC">
        <w:rPr>
          <w:rFonts w:ascii="Palatino Linotype" w:hAnsi="Palatino Linotype"/>
          <w:sz w:val="22"/>
        </w:rPr>
        <w:t>Logo</w:t>
      </w:r>
      <w:r w:rsidR="00FF4CFF">
        <w:rPr>
          <w:rFonts w:ascii="Palatino Linotype" w:hAnsi="Palatino Linotype"/>
          <w:sz w:val="22"/>
        </w:rPr>
        <w:t xml:space="preserve">, este resultado </w:t>
      </w:r>
      <w:r w:rsidRPr="00E4187D">
        <w:rPr>
          <w:rFonts w:ascii="Palatino Linotype" w:hAnsi="Palatino Linotype"/>
          <w:sz w:val="22"/>
        </w:rPr>
        <w:t xml:space="preserve">pode ser interpretado pela ação da </w:t>
      </w:r>
      <w:r w:rsidRPr="00FF4CFF">
        <w:rPr>
          <w:rFonts w:ascii="Palatino Linotype" w:hAnsi="Palatino Linotype"/>
          <w:i/>
          <w:sz w:val="22"/>
        </w:rPr>
        <w:t>Trade Off Theory</w:t>
      </w:r>
      <w:r w:rsidRPr="00E4187D">
        <w:rPr>
          <w:rFonts w:ascii="Palatino Linotype" w:hAnsi="Palatino Linotype"/>
          <w:sz w:val="22"/>
        </w:rPr>
        <w:t>, que busca uma melhor relação custo benefício para as companhias no que diz respeito ao capital próprio e o capital de terceiros (Bastos &amp; Nakamura, 2009; Myers &amp; Majluf, 1984).</w:t>
      </w:r>
    </w:p>
    <w:p w14:paraId="3424A283" w14:textId="77777777" w:rsidR="00005715" w:rsidRPr="00E4187D" w:rsidRDefault="00005715" w:rsidP="00E4187D">
      <w:pPr>
        <w:rPr>
          <w:rFonts w:ascii="Palatino Linotype" w:hAnsi="Palatino Linotype"/>
          <w:sz w:val="22"/>
        </w:rPr>
      </w:pPr>
      <w:r w:rsidRPr="00E4187D">
        <w:rPr>
          <w:rFonts w:ascii="Palatino Linotype" w:hAnsi="Palatino Linotype"/>
          <w:sz w:val="22"/>
        </w:rPr>
        <w:t>Esta prefer</w:t>
      </w:r>
      <w:r w:rsidR="00E77A18">
        <w:rPr>
          <w:rFonts w:ascii="Palatino Linotype" w:hAnsi="Palatino Linotype"/>
          <w:sz w:val="22"/>
        </w:rPr>
        <w:t>ê</w:t>
      </w:r>
      <w:r w:rsidRPr="00E4187D">
        <w:rPr>
          <w:rFonts w:ascii="Palatino Linotype" w:hAnsi="Palatino Linotype"/>
          <w:sz w:val="22"/>
        </w:rPr>
        <w:t>ncia por emissão de dívidas pode ser entendida por meio da classificação proposta por Zysman (1983) em relação aos sistemas financeiros</w:t>
      </w:r>
      <w:r w:rsidR="00E77A18">
        <w:rPr>
          <w:rFonts w:ascii="Palatino Linotype" w:hAnsi="Palatino Linotype"/>
          <w:sz w:val="22"/>
        </w:rPr>
        <w:t>,</w:t>
      </w:r>
      <w:r w:rsidRPr="00E4187D">
        <w:rPr>
          <w:rFonts w:ascii="Palatino Linotype" w:hAnsi="Palatino Linotype"/>
          <w:sz w:val="22"/>
        </w:rPr>
        <w:t xml:space="preserve"> que podem se encontrar baseados tanto no mercado de capitais</w:t>
      </w:r>
      <w:r w:rsidR="00E77A18">
        <w:rPr>
          <w:rFonts w:ascii="Palatino Linotype" w:hAnsi="Palatino Linotype"/>
          <w:sz w:val="22"/>
        </w:rPr>
        <w:t>,</w:t>
      </w:r>
      <w:r w:rsidRPr="00E4187D">
        <w:rPr>
          <w:rFonts w:ascii="Palatino Linotype" w:hAnsi="Palatino Linotype"/>
          <w:sz w:val="22"/>
        </w:rPr>
        <w:t xml:space="preserve"> quanto no mercado de crédito de instituições financeiras</w:t>
      </w:r>
      <w:r w:rsidR="00E77A18">
        <w:rPr>
          <w:rFonts w:ascii="Palatino Linotype" w:hAnsi="Palatino Linotype"/>
          <w:sz w:val="22"/>
        </w:rPr>
        <w:t xml:space="preserve"> e/</w:t>
      </w:r>
      <w:r w:rsidRPr="00E4187D">
        <w:rPr>
          <w:rFonts w:ascii="Palatino Linotype" w:hAnsi="Palatino Linotype"/>
          <w:sz w:val="22"/>
        </w:rPr>
        <w:t xml:space="preserve">ou no mercado baseado em créditos governamentais, </w:t>
      </w:r>
      <w:r w:rsidR="00E77A18">
        <w:rPr>
          <w:rFonts w:ascii="Palatino Linotype" w:hAnsi="Palatino Linotype"/>
          <w:sz w:val="22"/>
        </w:rPr>
        <w:t>este resultado</w:t>
      </w:r>
      <w:r w:rsidRPr="00E4187D">
        <w:rPr>
          <w:rFonts w:ascii="Palatino Linotype" w:hAnsi="Palatino Linotype"/>
          <w:sz w:val="22"/>
        </w:rPr>
        <w:t xml:space="preserve"> reforça os dizeres de</w:t>
      </w:r>
      <w:r w:rsidR="00E77A18" w:rsidRPr="00E4187D">
        <w:rPr>
          <w:rFonts w:ascii="Palatino Linotype" w:hAnsi="Palatino Linotype"/>
          <w:sz w:val="22"/>
        </w:rPr>
        <w:t xml:space="preserve"> </w:t>
      </w:r>
      <w:r w:rsidRPr="00E4187D">
        <w:rPr>
          <w:rFonts w:ascii="Palatino Linotype" w:hAnsi="Palatino Linotype"/>
          <w:sz w:val="22"/>
        </w:rPr>
        <w:t>Silva (2015) quando discorre que no caso do Brasil o sistema financeiro é considerado misto, devido à criação pelo governo de bancos</w:t>
      </w:r>
      <w:r w:rsidR="00AF47A2">
        <w:rPr>
          <w:rFonts w:ascii="Palatino Linotype" w:hAnsi="Palatino Linotype"/>
          <w:sz w:val="22"/>
        </w:rPr>
        <w:t>,</w:t>
      </w:r>
      <w:r w:rsidRPr="00E4187D">
        <w:rPr>
          <w:rFonts w:ascii="Palatino Linotype" w:hAnsi="Palatino Linotype"/>
          <w:sz w:val="22"/>
        </w:rPr>
        <w:t xml:space="preserve"> como o Banco Nacional de Desenvolvimento Econômico e Social (BNDES), </w:t>
      </w:r>
      <w:r w:rsidR="00E77A18">
        <w:rPr>
          <w:rFonts w:ascii="Palatino Linotype" w:hAnsi="Palatino Linotype"/>
          <w:sz w:val="22"/>
        </w:rPr>
        <w:t>logo,</w:t>
      </w:r>
      <w:r w:rsidRPr="00E4187D">
        <w:rPr>
          <w:rFonts w:ascii="Palatino Linotype" w:hAnsi="Palatino Linotype"/>
          <w:sz w:val="22"/>
        </w:rPr>
        <w:t xml:space="preserve"> o sistema financeiro nacional</w:t>
      </w:r>
      <w:r w:rsidR="00E77A18">
        <w:rPr>
          <w:rFonts w:ascii="Palatino Linotype" w:hAnsi="Palatino Linotype"/>
          <w:sz w:val="22"/>
        </w:rPr>
        <w:t xml:space="preserve"> pode</w:t>
      </w:r>
      <w:r w:rsidRPr="00E4187D">
        <w:rPr>
          <w:rFonts w:ascii="Palatino Linotype" w:hAnsi="Palatino Linotype"/>
          <w:sz w:val="22"/>
        </w:rPr>
        <w:t xml:space="preserve"> ser baseado tanto no crédito governamental, quanto no crédito bancário.</w:t>
      </w:r>
    </w:p>
    <w:p w14:paraId="3424A284" w14:textId="77777777" w:rsidR="00005715" w:rsidRPr="00E4187D" w:rsidRDefault="00005715" w:rsidP="00E4187D">
      <w:pPr>
        <w:rPr>
          <w:rFonts w:ascii="Palatino Linotype" w:hAnsi="Palatino Linotype"/>
          <w:sz w:val="22"/>
        </w:rPr>
      </w:pPr>
      <w:r w:rsidRPr="00E4187D">
        <w:rPr>
          <w:rFonts w:ascii="Palatino Linotype" w:hAnsi="Palatino Linotype"/>
          <w:sz w:val="22"/>
        </w:rPr>
        <w:t>Outra justificativa para estes resultados em relação às fontes secundárias</w:t>
      </w:r>
      <w:r w:rsidR="00E77A18">
        <w:rPr>
          <w:rFonts w:ascii="Palatino Linotype" w:hAnsi="Palatino Linotype"/>
          <w:sz w:val="22"/>
        </w:rPr>
        <w:t>,</w:t>
      </w:r>
      <w:r w:rsidRPr="00E4187D">
        <w:rPr>
          <w:rFonts w:ascii="Palatino Linotype" w:hAnsi="Palatino Linotype"/>
          <w:sz w:val="22"/>
        </w:rPr>
        <w:t xml:space="preserve"> seriam as características institucionais do Brasil, com um perfil de um modelo </w:t>
      </w:r>
      <w:r w:rsidRPr="00E77A18">
        <w:rPr>
          <w:rFonts w:ascii="Palatino Linotype" w:hAnsi="Palatino Linotype"/>
          <w:i/>
          <w:sz w:val="22"/>
        </w:rPr>
        <w:t>code law</w:t>
      </w:r>
      <w:r w:rsidRPr="00E4187D">
        <w:rPr>
          <w:rFonts w:ascii="Palatino Linotype" w:hAnsi="Palatino Linotype"/>
          <w:sz w:val="22"/>
        </w:rPr>
        <w:t xml:space="preserve"> (Ball, Kothari e Robin, 2000) e um fraco </w:t>
      </w:r>
      <w:r w:rsidRPr="00E77A18">
        <w:rPr>
          <w:rFonts w:ascii="Palatino Linotype" w:hAnsi="Palatino Linotype"/>
          <w:i/>
          <w:sz w:val="22"/>
        </w:rPr>
        <w:t>outsider equity</w:t>
      </w:r>
      <w:r w:rsidRPr="00E4187D">
        <w:rPr>
          <w:rFonts w:ascii="Palatino Linotype" w:hAnsi="Palatino Linotype"/>
          <w:sz w:val="22"/>
        </w:rPr>
        <w:t xml:space="preserve">, isto é, pouco capital de investidores compondo a estrutura de capital das companhias (Nobes, 1998). </w:t>
      </w:r>
    </w:p>
    <w:p w14:paraId="3424A285" w14:textId="77777777" w:rsidR="00005715" w:rsidRPr="00E4187D" w:rsidRDefault="00005715" w:rsidP="00E4187D">
      <w:pPr>
        <w:rPr>
          <w:rFonts w:ascii="Palatino Linotype" w:hAnsi="Palatino Linotype"/>
          <w:sz w:val="22"/>
        </w:rPr>
      </w:pPr>
      <w:r w:rsidRPr="00E4187D">
        <w:rPr>
          <w:rFonts w:ascii="Palatino Linotype" w:hAnsi="Palatino Linotype"/>
          <w:sz w:val="22"/>
        </w:rPr>
        <w:t>A considerável presença de financiamento</w:t>
      </w:r>
      <w:r w:rsidR="00E77A18">
        <w:rPr>
          <w:rFonts w:ascii="Palatino Linotype" w:hAnsi="Palatino Linotype"/>
          <w:sz w:val="22"/>
        </w:rPr>
        <w:t xml:space="preserve"> adotada pelas companhias de capital aberto através da</w:t>
      </w:r>
      <w:r w:rsidRPr="00E4187D">
        <w:rPr>
          <w:rFonts w:ascii="Palatino Linotype" w:hAnsi="Palatino Linotype"/>
          <w:sz w:val="22"/>
        </w:rPr>
        <w:t xml:space="preserve"> emissão de dívidas, geralmente advindas de transações com instituições financeiras</w:t>
      </w:r>
      <w:r w:rsidR="00E77A18">
        <w:rPr>
          <w:rFonts w:ascii="Palatino Linotype" w:hAnsi="Palatino Linotype"/>
          <w:sz w:val="22"/>
        </w:rPr>
        <w:t>,</w:t>
      </w:r>
      <w:r w:rsidRPr="00E4187D">
        <w:rPr>
          <w:rFonts w:ascii="Palatino Linotype" w:hAnsi="Palatino Linotype"/>
          <w:sz w:val="22"/>
        </w:rPr>
        <w:t xml:space="preserve"> pode ser reflexo da característica institucional forma de financiamento</w:t>
      </w:r>
      <w:r w:rsidR="00E77A18">
        <w:rPr>
          <w:rFonts w:ascii="Palatino Linotype" w:hAnsi="Palatino Linotype"/>
          <w:sz w:val="22"/>
        </w:rPr>
        <w:t>, que,</w:t>
      </w:r>
      <w:r w:rsidRPr="00E4187D">
        <w:rPr>
          <w:rFonts w:ascii="Palatino Linotype" w:hAnsi="Palatino Linotype"/>
          <w:sz w:val="22"/>
        </w:rPr>
        <w:t xml:space="preserve"> no caso do Brasil ainda é forte a participação dos bancos como </w:t>
      </w:r>
      <w:r w:rsidR="00E77A18">
        <w:rPr>
          <w:rFonts w:ascii="Palatino Linotype" w:hAnsi="Palatino Linotype"/>
          <w:sz w:val="22"/>
        </w:rPr>
        <w:t xml:space="preserve">agente </w:t>
      </w:r>
      <w:r w:rsidRPr="00E4187D">
        <w:rPr>
          <w:rFonts w:ascii="Palatino Linotype" w:hAnsi="Palatino Linotype"/>
          <w:sz w:val="22"/>
        </w:rPr>
        <w:t xml:space="preserve">financiador das companhias, mesmo </w:t>
      </w:r>
      <w:r w:rsidR="00E77A18">
        <w:rPr>
          <w:rFonts w:ascii="Palatino Linotype" w:hAnsi="Palatino Linotype"/>
          <w:sz w:val="22"/>
        </w:rPr>
        <w:t xml:space="preserve">sendo </w:t>
      </w:r>
      <w:r w:rsidRPr="00E4187D">
        <w:rPr>
          <w:rFonts w:ascii="Palatino Linotype" w:hAnsi="Palatino Linotype"/>
          <w:sz w:val="22"/>
        </w:rPr>
        <w:t xml:space="preserve">aquelas de capital aberto (Silva, 2015; Lopes &amp; Walker, 2008). </w:t>
      </w:r>
    </w:p>
    <w:p w14:paraId="3424A286" w14:textId="77777777" w:rsidR="00005715" w:rsidRPr="00E4187D" w:rsidRDefault="00005715" w:rsidP="00E4187D">
      <w:pPr>
        <w:rPr>
          <w:rFonts w:ascii="Palatino Linotype" w:hAnsi="Palatino Linotype"/>
          <w:sz w:val="22"/>
        </w:rPr>
      </w:pPr>
      <w:r w:rsidRPr="00E4187D">
        <w:rPr>
          <w:rFonts w:ascii="Palatino Linotype" w:hAnsi="Palatino Linotype"/>
          <w:sz w:val="22"/>
        </w:rPr>
        <w:t>O aparecimento da fonte de financiamento via emissão de ações (36%) também pode ser explicado pelo sistema legal adotado no Brasil</w:t>
      </w:r>
      <w:r w:rsidR="00E77A18">
        <w:rPr>
          <w:rFonts w:ascii="Palatino Linotype" w:hAnsi="Palatino Linotype"/>
          <w:sz w:val="22"/>
        </w:rPr>
        <w:t>,</w:t>
      </w:r>
      <w:r w:rsidRPr="00E4187D">
        <w:rPr>
          <w:rFonts w:ascii="Palatino Linotype" w:hAnsi="Palatino Linotype"/>
          <w:sz w:val="22"/>
        </w:rPr>
        <w:t xml:space="preserve"> que apesar de </w:t>
      </w:r>
      <w:r w:rsidR="00E77A18">
        <w:rPr>
          <w:rFonts w:ascii="Palatino Linotype" w:hAnsi="Palatino Linotype"/>
          <w:sz w:val="22"/>
        </w:rPr>
        <w:t>possuir</w:t>
      </w:r>
      <w:r w:rsidRPr="00E4187D">
        <w:rPr>
          <w:rFonts w:ascii="Palatino Linotype" w:hAnsi="Palatino Linotype"/>
          <w:sz w:val="22"/>
        </w:rPr>
        <w:t xml:space="preserve"> características </w:t>
      </w:r>
      <w:r w:rsidRPr="00E77A18">
        <w:rPr>
          <w:rFonts w:ascii="Palatino Linotype" w:hAnsi="Palatino Linotype"/>
          <w:i/>
          <w:sz w:val="22"/>
        </w:rPr>
        <w:t>code</w:t>
      </w:r>
      <w:r w:rsidRPr="00E4187D">
        <w:rPr>
          <w:rFonts w:ascii="Palatino Linotype" w:hAnsi="Palatino Linotype"/>
          <w:sz w:val="22"/>
        </w:rPr>
        <w:t xml:space="preserve"> </w:t>
      </w:r>
      <w:r w:rsidRPr="00E77A18">
        <w:rPr>
          <w:rFonts w:ascii="Palatino Linotype" w:hAnsi="Palatino Linotype"/>
          <w:i/>
          <w:sz w:val="22"/>
        </w:rPr>
        <w:lastRenderedPageBreak/>
        <w:t>law</w:t>
      </w:r>
      <w:r w:rsidRPr="00E4187D">
        <w:rPr>
          <w:rFonts w:ascii="Palatino Linotype" w:hAnsi="Palatino Linotype"/>
          <w:sz w:val="22"/>
        </w:rPr>
        <w:t>, adotou</w:t>
      </w:r>
      <w:r w:rsidR="00E77A18">
        <w:rPr>
          <w:rFonts w:ascii="Palatino Linotype" w:hAnsi="Palatino Linotype"/>
          <w:sz w:val="22"/>
        </w:rPr>
        <w:t>-se</w:t>
      </w:r>
      <w:r w:rsidRPr="00E4187D">
        <w:rPr>
          <w:rFonts w:ascii="Palatino Linotype" w:hAnsi="Palatino Linotype"/>
          <w:sz w:val="22"/>
        </w:rPr>
        <w:t xml:space="preserve"> nos últimos anos um modelo contábil baseado em características </w:t>
      </w:r>
      <w:r w:rsidRPr="00E77A18">
        <w:rPr>
          <w:rFonts w:ascii="Palatino Linotype" w:hAnsi="Palatino Linotype"/>
          <w:i/>
          <w:sz w:val="22"/>
        </w:rPr>
        <w:t>common law</w:t>
      </w:r>
      <w:r w:rsidRPr="00E4187D">
        <w:rPr>
          <w:rFonts w:ascii="Palatino Linotype" w:hAnsi="Palatino Linotype"/>
          <w:sz w:val="22"/>
        </w:rPr>
        <w:t>, motivado pelo aumento de investidores no mercado de capitais brasileiro</w:t>
      </w:r>
      <w:r w:rsidR="00E77A18">
        <w:rPr>
          <w:rFonts w:ascii="Palatino Linotype" w:hAnsi="Palatino Linotype"/>
          <w:sz w:val="22"/>
        </w:rPr>
        <w:t>,</w:t>
      </w:r>
      <w:r w:rsidRPr="00E4187D">
        <w:rPr>
          <w:rFonts w:ascii="Palatino Linotype" w:hAnsi="Palatino Linotype"/>
          <w:sz w:val="22"/>
        </w:rPr>
        <w:t xml:space="preserve"> o que pode indicar uma mudan</w:t>
      </w:r>
      <w:r w:rsidR="00837A7C">
        <w:rPr>
          <w:rFonts w:ascii="Palatino Linotype" w:hAnsi="Palatino Linotype"/>
          <w:sz w:val="22"/>
        </w:rPr>
        <w:t>ça de contabilidade, ou seja, a mudança de</w:t>
      </w:r>
      <w:r w:rsidRPr="00E4187D">
        <w:rPr>
          <w:rFonts w:ascii="Palatino Linotype" w:hAnsi="Palatino Linotype"/>
          <w:sz w:val="22"/>
        </w:rPr>
        <w:t xml:space="preserve"> uma contabilidade focada na tributação e informações</w:t>
      </w:r>
      <w:r w:rsidR="00837A7C">
        <w:rPr>
          <w:rFonts w:ascii="Palatino Linotype" w:hAnsi="Palatino Linotype"/>
          <w:sz w:val="22"/>
        </w:rPr>
        <w:t>,</w:t>
      </w:r>
      <w:r w:rsidRPr="00E4187D">
        <w:rPr>
          <w:rFonts w:ascii="Palatino Linotype" w:hAnsi="Palatino Linotype"/>
          <w:sz w:val="22"/>
        </w:rPr>
        <w:t xml:space="preserve"> voltadas aos credores, para uma contabilidade mais direcionada aos investidores (Silva, 2015; Farais &amp; Farias, 2012; Lopes &amp; Walker, 2008). </w:t>
      </w:r>
    </w:p>
    <w:p w14:paraId="3424A287" w14:textId="3D3B8E2C" w:rsidR="008A1738" w:rsidRDefault="00005715" w:rsidP="000D5A03">
      <w:pPr>
        <w:rPr>
          <w:rFonts w:ascii="Palatino Linotype" w:hAnsi="Palatino Linotype" w:cs="Times New Roman"/>
          <w:b/>
          <w:sz w:val="18"/>
          <w:szCs w:val="18"/>
        </w:rPr>
      </w:pPr>
      <w:r w:rsidRPr="00E4187D">
        <w:rPr>
          <w:rFonts w:ascii="Palatino Linotype" w:hAnsi="Palatino Linotype"/>
          <w:sz w:val="22"/>
        </w:rPr>
        <w:t>Quanto à comparação aos estudos anteriores</w:t>
      </w:r>
      <w:r w:rsidR="00837A7C">
        <w:rPr>
          <w:rFonts w:ascii="Palatino Linotype" w:hAnsi="Palatino Linotype"/>
          <w:sz w:val="22"/>
        </w:rPr>
        <w:t>,</w:t>
      </w:r>
      <w:r w:rsidRPr="00E4187D">
        <w:rPr>
          <w:rFonts w:ascii="Palatino Linotype" w:hAnsi="Palatino Linotype"/>
          <w:sz w:val="22"/>
        </w:rPr>
        <w:t xml:space="preserve"> </w:t>
      </w:r>
      <w:r w:rsidR="00FA48D0">
        <w:rPr>
          <w:rFonts w:ascii="Palatino Linotype" w:hAnsi="Palatino Linotype"/>
          <w:sz w:val="22"/>
        </w:rPr>
        <w:t>no qual, foi</w:t>
      </w:r>
      <w:r w:rsidRPr="00E4187D">
        <w:rPr>
          <w:rFonts w:ascii="Palatino Linotype" w:hAnsi="Palatino Linotype"/>
          <w:sz w:val="22"/>
        </w:rPr>
        <w:t xml:space="preserve"> </w:t>
      </w:r>
      <w:r w:rsidR="00FA48D0">
        <w:rPr>
          <w:rFonts w:ascii="Palatino Linotype" w:hAnsi="Palatino Linotype"/>
          <w:sz w:val="22"/>
        </w:rPr>
        <w:t>utilizada</w:t>
      </w:r>
      <w:r w:rsidRPr="00E4187D">
        <w:rPr>
          <w:rFonts w:ascii="Palatino Linotype" w:hAnsi="Palatino Linotype"/>
          <w:sz w:val="22"/>
        </w:rPr>
        <w:t xml:space="preserve"> a mesma metodologia proposta por Singh e Hamid (1992), tem-se a </w:t>
      </w:r>
      <w:r w:rsidR="009B784E">
        <w:rPr>
          <w:rFonts w:ascii="Palatino Linotype" w:hAnsi="Palatino Linotype"/>
          <w:sz w:val="22"/>
        </w:rPr>
        <w:t>tabela</w:t>
      </w:r>
      <w:r w:rsidR="000D5A03">
        <w:rPr>
          <w:rFonts w:ascii="Palatino Linotype" w:hAnsi="Palatino Linotype"/>
          <w:sz w:val="22"/>
        </w:rPr>
        <w:t xml:space="preserve"> 4 </w:t>
      </w:r>
      <w:r w:rsidR="002106A0">
        <w:rPr>
          <w:rFonts w:ascii="Palatino Linotype" w:hAnsi="Palatino Linotype"/>
          <w:sz w:val="22"/>
        </w:rPr>
        <w:t>na qual se</w:t>
      </w:r>
      <w:r w:rsidR="000D5A03">
        <w:rPr>
          <w:rFonts w:ascii="Palatino Linotype" w:hAnsi="Palatino Linotype"/>
          <w:sz w:val="22"/>
        </w:rPr>
        <w:t xml:space="preserve"> apresenta</w:t>
      </w:r>
      <w:r w:rsidR="002106A0">
        <w:rPr>
          <w:rFonts w:ascii="Palatino Linotype" w:hAnsi="Palatino Linotype"/>
          <w:sz w:val="22"/>
        </w:rPr>
        <w:t>m</w:t>
      </w:r>
      <w:r w:rsidR="000D5A03">
        <w:rPr>
          <w:rFonts w:ascii="Palatino Linotype" w:hAnsi="Palatino Linotype"/>
          <w:sz w:val="22"/>
        </w:rPr>
        <w:t xml:space="preserve"> os períodos e as amostras de pesquisas anteriores,</w:t>
      </w:r>
      <w:r w:rsidR="009B784E">
        <w:rPr>
          <w:rFonts w:ascii="Palatino Linotype" w:hAnsi="Palatino Linotype"/>
          <w:sz w:val="22"/>
        </w:rPr>
        <w:t xml:space="preserve"> e </w:t>
      </w:r>
      <w:r w:rsidR="000D5A03">
        <w:rPr>
          <w:rFonts w:ascii="Palatino Linotype" w:hAnsi="Palatino Linotype"/>
          <w:sz w:val="22"/>
        </w:rPr>
        <w:t xml:space="preserve">a </w:t>
      </w:r>
      <w:r w:rsidR="009B784E">
        <w:rPr>
          <w:rFonts w:ascii="Palatino Linotype" w:hAnsi="Palatino Linotype"/>
          <w:sz w:val="22"/>
        </w:rPr>
        <w:t>figura</w:t>
      </w:r>
      <w:r w:rsidR="000D5A03">
        <w:rPr>
          <w:rFonts w:ascii="Palatino Linotype" w:hAnsi="Palatino Linotype"/>
          <w:sz w:val="22"/>
        </w:rPr>
        <w:t xml:space="preserve"> 4 onde se apresenta uma comparação com os resultados das mesmas.</w:t>
      </w:r>
    </w:p>
    <w:p w14:paraId="3424A288" w14:textId="77777777" w:rsidR="009B784E" w:rsidRDefault="008A1738" w:rsidP="008A1738">
      <w:pPr>
        <w:jc w:val="center"/>
        <w:rPr>
          <w:rFonts w:ascii="Palatino Linotype" w:hAnsi="Palatino Linotype"/>
          <w:sz w:val="22"/>
        </w:rPr>
      </w:pPr>
      <w:r>
        <w:rPr>
          <w:rFonts w:ascii="Palatino Linotype" w:hAnsi="Palatino Linotype" w:cs="Times New Roman"/>
          <w:b/>
          <w:sz w:val="18"/>
          <w:szCs w:val="18"/>
        </w:rPr>
        <w:t>Tabela 4</w:t>
      </w:r>
      <w:r w:rsidRPr="00672862">
        <w:rPr>
          <w:rFonts w:ascii="Palatino Linotype" w:hAnsi="Palatino Linotype" w:cs="Times New Roman"/>
          <w:b/>
          <w:sz w:val="18"/>
          <w:szCs w:val="18"/>
        </w:rPr>
        <w:t>:</w:t>
      </w:r>
      <w:r w:rsidRPr="00147F80">
        <w:rPr>
          <w:rFonts w:ascii="Palatino Linotype" w:hAnsi="Palatino Linotype" w:cs="Times New Roman"/>
          <w:sz w:val="22"/>
        </w:rPr>
        <w:t xml:space="preserve"> </w:t>
      </w:r>
      <w:r>
        <w:rPr>
          <w:rFonts w:ascii="Palatino Linotype" w:hAnsi="Palatino Linotype" w:cs="Times New Roman"/>
          <w:sz w:val="18"/>
          <w:szCs w:val="18"/>
        </w:rPr>
        <w:t>Estudos anteriores</w:t>
      </w:r>
      <w:r w:rsidR="009F1941">
        <w:rPr>
          <w:rFonts w:ascii="Palatino Linotype" w:hAnsi="Palatino Linotype" w:cs="Times New Roman"/>
          <w:sz w:val="18"/>
          <w:szCs w:val="18"/>
        </w:rPr>
        <w:t>.</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980"/>
        <w:gridCol w:w="994"/>
        <w:gridCol w:w="5810"/>
      </w:tblGrid>
      <w:tr w:rsidR="008A18A2" w:rsidRPr="008A18A2" w14:paraId="3424A28C" w14:textId="77777777" w:rsidTr="008A1738">
        <w:tc>
          <w:tcPr>
            <w:tcW w:w="1980" w:type="dxa"/>
          </w:tcPr>
          <w:p w14:paraId="3424A289"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Estudos</w:t>
            </w:r>
            <w:r>
              <w:rPr>
                <w:rFonts w:ascii="Palatino Linotype" w:hAnsi="Palatino Linotype"/>
                <w:b/>
                <w:sz w:val="18"/>
                <w:szCs w:val="18"/>
              </w:rPr>
              <w:t xml:space="preserve"> (ano)</w:t>
            </w:r>
          </w:p>
        </w:tc>
        <w:tc>
          <w:tcPr>
            <w:tcW w:w="994" w:type="dxa"/>
          </w:tcPr>
          <w:p w14:paraId="3424A28A"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Período</w:t>
            </w:r>
          </w:p>
        </w:tc>
        <w:tc>
          <w:tcPr>
            <w:tcW w:w="5810" w:type="dxa"/>
          </w:tcPr>
          <w:p w14:paraId="3424A28B"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Amostra</w:t>
            </w:r>
          </w:p>
        </w:tc>
      </w:tr>
      <w:tr w:rsidR="008A18A2" w:rsidRPr="008A18A2" w14:paraId="3424A290" w14:textId="77777777" w:rsidTr="008A1738">
        <w:tc>
          <w:tcPr>
            <w:tcW w:w="1980" w:type="dxa"/>
          </w:tcPr>
          <w:p w14:paraId="3424A28D" w14:textId="77777777" w:rsidR="008A18A2" w:rsidRPr="008A18A2" w:rsidRDefault="008A18A2" w:rsidP="008A1738">
            <w:pPr>
              <w:ind w:firstLine="0"/>
              <w:jc w:val="center"/>
              <w:rPr>
                <w:rFonts w:ascii="Palatino Linotype" w:hAnsi="Palatino Linotype"/>
                <w:sz w:val="18"/>
                <w:szCs w:val="18"/>
              </w:rPr>
            </w:pPr>
            <w:r w:rsidRPr="008A18A2">
              <w:rPr>
                <w:rFonts w:ascii="Palatino Linotype" w:hAnsi="Palatino Linotype"/>
                <w:sz w:val="18"/>
                <w:szCs w:val="18"/>
              </w:rPr>
              <w:t>Singh</w:t>
            </w:r>
            <w:r>
              <w:rPr>
                <w:rFonts w:ascii="Palatino Linotype" w:hAnsi="Palatino Linotype"/>
                <w:sz w:val="18"/>
                <w:szCs w:val="18"/>
              </w:rPr>
              <w:t xml:space="preserve"> </w:t>
            </w:r>
            <w:r w:rsidRPr="008A18A2">
              <w:rPr>
                <w:rFonts w:ascii="Palatino Linotype" w:hAnsi="Palatino Linotype"/>
                <w:sz w:val="18"/>
                <w:szCs w:val="18"/>
              </w:rPr>
              <w:t>(1995)</w:t>
            </w:r>
          </w:p>
        </w:tc>
        <w:tc>
          <w:tcPr>
            <w:tcW w:w="994" w:type="dxa"/>
          </w:tcPr>
          <w:p w14:paraId="3424A28E"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1985/1991</w:t>
            </w:r>
          </w:p>
        </w:tc>
        <w:tc>
          <w:tcPr>
            <w:tcW w:w="5810" w:type="dxa"/>
          </w:tcPr>
          <w:p w14:paraId="3424A28F"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100 companhias industriais estrangeiras de capital aberto</w:t>
            </w:r>
          </w:p>
        </w:tc>
      </w:tr>
      <w:tr w:rsidR="008A18A2" w:rsidRPr="008A18A2" w14:paraId="3424A294" w14:textId="77777777" w:rsidTr="008A1738">
        <w:tc>
          <w:tcPr>
            <w:tcW w:w="1980" w:type="dxa"/>
          </w:tcPr>
          <w:p w14:paraId="3424A291" w14:textId="77777777" w:rsidR="008A18A2" w:rsidRPr="008A18A2" w:rsidRDefault="008A1738" w:rsidP="008A1738">
            <w:pPr>
              <w:ind w:firstLine="0"/>
              <w:jc w:val="center"/>
              <w:rPr>
                <w:rFonts w:ascii="Palatino Linotype" w:hAnsi="Palatino Linotype"/>
                <w:sz w:val="18"/>
                <w:szCs w:val="18"/>
              </w:rPr>
            </w:pPr>
            <w:r w:rsidRPr="008A18A2">
              <w:rPr>
                <w:rFonts w:ascii="Palatino Linotype" w:hAnsi="Palatino Linotype"/>
                <w:sz w:val="18"/>
                <w:szCs w:val="18"/>
              </w:rPr>
              <w:t>Zonenschain</w:t>
            </w:r>
            <w:r>
              <w:rPr>
                <w:rFonts w:ascii="Palatino Linotype" w:hAnsi="Palatino Linotype"/>
                <w:sz w:val="18"/>
                <w:szCs w:val="18"/>
              </w:rPr>
              <w:t xml:space="preserve"> </w:t>
            </w:r>
            <w:r w:rsidRPr="008A18A2">
              <w:rPr>
                <w:rFonts w:ascii="Palatino Linotype" w:hAnsi="Palatino Linotype"/>
                <w:sz w:val="18"/>
                <w:szCs w:val="18"/>
              </w:rPr>
              <w:t>(1998)</w:t>
            </w:r>
          </w:p>
        </w:tc>
        <w:tc>
          <w:tcPr>
            <w:tcW w:w="994" w:type="dxa"/>
          </w:tcPr>
          <w:p w14:paraId="3424A292"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1989/1996</w:t>
            </w:r>
          </w:p>
        </w:tc>
        <w:tc>
          <w:tcPr>
            <w:tcW w:w="5810" w:type="dxa"/>
          </w:tcPr>
          <w:p w14:paraId="3424A293"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216 companhias industriais nacionais de capital aberto</w:t>
            </w:r>
          </w:p>
        </w:tc>
      </w:tr>
      <w:tr w:rsidR="008A18A2" w:rsidRPr="008A18A2" w14:paraId="3424A298" w14:textId="77777777" w:rsidTr="008A1738">
        <w:tc>
          <w:tcPr>
            <w:tcW w:w="1980" w:type="dxa"/>
          </w:tcPr>
          <w:p w14:paraId="3424A295" w14:textId="50E318FF" w:rsidR="008A18A2" w:rsidRPr="008A18A2" w:rsidRDefault="008A1738" w:rsidP="00E4187D">
            <w:pPr>
              <w:ind w:firstLine="0"/>
              <w:rPr>
                <w:rFonts w:ascii="Palatino Linotype" w:hAnsi="Palatino Linotype"/>
                <w:sz w:val="18"/>
                <w:szCs w:val="18"/>
              </w:rPr>
            </w:pPr>
            <w:r w:rsidRPr="008A18A2">
              <w:rPr>
                <w:rFonts w:ascii="Palatino Linotype" w:hAnsi="Palatino Linotype"/>
                <w:sz w:val="18"/>
                <w:szCs w:val="18"/>
              </w:rPr>
              <w:t>Morei</w:t>
            </w:r>
            <w:r w:rsidR="00775CB1">
              <w:rPr>
                <w:rFonts w:ascii="Palatino Linotype" w:hAnsi="Palatino Linotype"/>
                <w:sz w:val="18"/>
                <w:szCs w:val="18"/>
              </w:rPr>
              <w:t>r</w:t>
            </w:r>
            <w:r w:rsidRPr="008A18A2">
              <w:rPr>
                <w:rFonts w:ascii="Palatino Linotype" w:hAnsi="Palatino Linotype"/>
                <w:sz w:val="18"/>
                <w:szCs w:val="18"/>
              </w:rPr>
              <w:t>a e Puga</w:t>
            </w:r>
            <w:r>
              <w:rPr>
                <w:rFonts w:ascii="Palatino Linotype" w:hAnsi="Palatino Linotype"/>
                <w:sz w:val="18"/>
                <w:szCs w:val="18"/>
              </w:rPr>
              <w:t xml:space="preserve"> </w:t>
            </w:r>
            <w:r w:rsidRPr="008A18A2">
              <w:rPr>
                <w:rFonts w:ascii="Palatino Linotype" w:hAnsi="Palatino Linotype"/>
                <w:sz w:val="18"/>
                <w:szCs w:val="18"/>
              </w:rPr>
              <w:t>(2000)</w:t>
            </w:r>
          </w:p>
        </w:tc>
        <w:tc>
          <w:tcPr>
            <w:tcW w:w="994" w:type="dxa"/>
          </w:tcPr>
          <w:p w14:paraId="3424A296"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1995/1997</w:t>
            </w:r>
          </w:p>
        </w:tc>
        <w:tc>
          <w:tcPr>
            <w:tcW w:w="5810" w:type="dxa"/>
          </w:tcPr>
          <w:p w14:paraId="3424A297"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4.312 companhias nacionais e estrangeiras de capital aberto e fechado</w:t>
            </w:r>
          </w:p>
        </w:tc>
      </w:tr>
    </w:tbl>
    <w:p w14:paraId="3424A299" w14:textId="77777777" w:rsidR="008A1738" w:rsidRDefault="008A1738" w:rsidP="008A1738">
      <w:pPr>
        <w:ind w:firstLine="0"/>
        <w:jc w:val="left"/>
        <w:rPr>
          <w:rFonts w:ascii="Palatino Linotype" w:hAnsi="Palatino Linotype" w:cs="Times New Roman"/>
          <w:sz w:val="18"/>
          <w:szCs w:val="18"/>
        </w:rPr>
      </w:pPr>
      <w:r w:rsidRPr="00E3303D">
        <w:rPr>
          <w:rFonts w:ascii="Palatino Linotype" w:hAnsi="Palatino Linotype" w:cs="Times New Roman"/>
          <w:b/>
          <w:sz w:val="18"/>
          <w:szCs w:val="18"/>
        </w:rPr>
        <w:t>Fonte</w:t>
      </w:r>
      <w:r>
        <w:rPr>
          <w:rFonts w:ascii="Palatino Linotype" w:hAnsi="Palatino Linotype" w:cs="Times New Roman"/>
          <w:sz w:val="18"/>
          <w:szCs w:val="18"/>
        </w:rPr>
        <w:t>. Elaborado</w:t>
      </w:r>
      <w:r w:rsidRPr="00F1217D">
        <w:rPr>
          <w:rFonts w:ascii="Palatino Linotype" w:hAnsi="Palatino Linotype" w:cs="Times New Roman"/>
          <w:sz w:val="18"/>
          <w:szCs w:val="18"/>
        </w:rPr>
        <w:t xml:space="preserve"> pelos autores</w:t>
      </w:r>
      <w:r>
        <w:rPr>
          <w:rFonts w:ascii="Palatino Linotype" w:hAnsi="Palatino Linotype" w:cs="Times New Roman"/>
          <w:sz w:val="18"/>
          <w:szCs w:val="18"/>
        </w:rPr>
        <w:t>.</w:t>
      </w:r>
    </w:p>
    <w:p w14:paraId="1C4F9D55" w14:textId="77777777" w:rsidR="00FA48D0" w:rsidRDefault="00FA48D0" w:rsidP="008A1738">
      <w:pPr>
        <w:ind w:firstLine="0"/>
        <w:jc w:val="left"/>
        <w:rPr>
          <w:rFonts w:ascii="Palatino Linotype" w:hAnsi="Palatino Linotype" w:cs="Times New Roman"/>
          <w:sz w:val="18"/>
          <w:szCs w:val="18"/>
        </w:rPr>
      </w:pPr>
    </w:p>
    <w:p w14:paraId="3424A2A9" w14:textId="4B3112F4" w:rsidR="009B784E" w:rsidRDefault="009C1C6A" w:rsidP="002A51B1">
      <w:pPr>
        <w:rPr>
          <w:rFonts w:ascii="Palatino Linotype" w:hAnsi="Palatino Linotype"/>
          <w:sz w:val="22"/>
        </w:rPr>
      </w:pPr>
      <w:r w:rsidRPr="002106A0">
        <w:rPr>
          <w:rFonts w:ascii="Palatino Linotype" w:hAnsi="Palatino Linotype"/>
          <w:sz w:val="22"/>
        </w:rPr>
        <w:t>Conforme a tabela 4, tanto Singh (1995), quanto Zonenschain (1998) e Moreira e Puga (2000) analisaram o perfil de financiame</w:t>
      </w:r>
      <w:r w:rsidR="006C5CBC" w:rsidRPr="002106A0">
        <w:rPr>
          <w:rFonts w:ascii="Palatino Linotype" w:hAnsi="Palatino Linotype"/>
          <w:sz w:val="22"/>
        </w:rPr>
        <w:t>nto das companhias industriais.</w:t>
      </w:r>
      <w:r w:rsidRPr="002106A0">
        <w:rPr>
          <w:rFonts w:ascii="Palatino Linotype" w:hAnsi="Palatino Linotype"/>
          <w:sz w:val="22"/>
        </w:rPr>
        <w:t xml:space="preserve"> Singh (1995) e Zonenschain (1998) optaram por analisar somente companhias</w:t>
      </w:r>
      <w:r w:rsidR="006C5CBC" w:rsidRPr="002106A0">
        <w:rPr>
          <w:rFonts w:ascii="Palatino Linotype" w:hAnsi="Palatino Linotype"/>
          <w:sz w:val="22"/>
        </w:rPr>
        <w:t xml:space="preserve"> </w:t>
      </w:r>
      <w:r w:rsidR="002106A0" w:rsidRPr="002106A0">
        <w:rPr>
          <w:rFonts w:ascii="Palatino Linotype" w:hAnsi="Palatino Linotype"/>
          <w:sz w:val="22"/>
        </w:rPr>
        <w:t>industriais de</w:t>
      </w:r>
      <w:r w:rsidRPr="002106A0">
        <w:rPr>
          <w:rFonts w:ascii="Palatino Linotype" w:hAnsi="Palatino Linotype"/>
          <w:sz w:val="22"/>
        </w:rPr>
        <w:t xml:space="preserve"> capital aber</w:t>
      </w:r>
      <w:r w:rsidR="006C5CBC" w:rsidRPr="002106A0">
        <w:rPr>
          <w:rFonts w:ascii="Palatino Linotype" w:hAnsi="Palatino Linotype"/>
          <w:sz w:val="22"/>
        </w:rPr>
        <w:t xml:space="preserve">to, </w:t>
      </w:r>
      <w:r w:rsidR="005E6D4E" w:rsidRPr="002106A0">
        <w:rPr>
          <w:rFonts w:ascii="Palatino Linotype" w:hAnsi="Palatino Linotype"/>
          <w:sz w:val="22"/>
        </w:rPr>
        <w:t xml:space="preserve">já </w:t>
      </w:r>
      <w:r w:rsidRPr="002106A0">
        <w:rPr>
          <w:rFonts w:ascii="Palatino Linotype" w:hAnsi="Palatino Linotype"/>
          <w:sz w:val="22"/>
        </w:rPr>
        <w:t xml:space="preserve">Moreira e </w:t>
      </w:r>
      <w:r w:rsidR="002106A0" w:rsidRPr="002106A0">
        <w:rPr>
          <w:rFonts w:ascii="Palatino Linotype" w:hAnsi="Palatino Linotype"/>
          <w:sz w:val="22"/>
        </w:rPr>
        <w:t>Puga</w:t>
      </w:r>
      <w:r w:rsidRPr="002106A0">
        <w:rPr>
          <w:rFonts w:ascii="Palatino Linotype" w:hAnsi="Palatino Linotype"/>
          <w:sz w:val="22"/>
        </w:rPr>
        <w:t>(2000)</w:t>
      </w:r>
      <w:r w:rsidR="005E6D4E" w:rsidRPr="002106A0">
        <w:rPr>
          <w:rFonts w:ascii="Palatino Linotype" w:hAnsi="Palatino Linotype"/>
          <w:sz w:val="22"/>
        </w:rPr>
        <w:t xml:space="preserve"> analisaram tanto companhias industriais de capital aberto, quanto companhias industriais de capital fechado</w:t>
      </w:r>
      <w:r w:rsidR="006C5CBC" w:rsidRPr="002106A0">
        <w:rPr>
          <w:rFonts w:ascii="Palatino Linotype" w:hAnsi="Palatino Linotype"/>
          <w:sz w:val="22"/>
        </w:rPr>
        <w:t>.</w:t>
      </w:r>
    </w:p>
    <w:p w14:paraId="3424A2AA" w14:textId="77777777" w:rsidR="00005715" w:rsidRPr="00E4187D" w:rsidRDefault="00147F80" w:rsidP="00E4187D">
      <w:pPr>
        <w:pStyle w:val="PargrafodaLista"/>
        <w:ind w:left="0" w:firstLine="709"/>
        <w:jc w:val="left"/>
        <w:rPr>
          <w:rFonts w:ascii="Palatino Linotype" w:hAnsi="Palatino Linotype"/>
          <w:sz w:val="22"/>
          <w:szCs w:val="22"/>
        </w:rPr>
      </w:pPr>
      <w:r w:rsidRPr="00E4187D">
        <w:rPr>
          <w:rFonts w:ascii="Palatino Linotype" w:hAnsi="Palatino Linotype"/>
          <w:noProof/>
          <w:sz w:val="22"/>
          <w:szCs w:val="22"/>
          <w:lang w:eastAsia="pt-BR"/>
        </w:rPr>
        <mc:AlternateContent>
          <mc:Choice Requires="wps">
            <w:drawing>
              <wp:anchor distT="0" distB="0" distL="114300" distR="114300" simplePos="0" relativeHeight="251664384" behindDoc="0" locked="0" layoutInCell="1" allowOverlap="1" wp14:anchorId="3424A313" wp14:editId="3424A314">
                <wp:simplePos x="0" y="0"/>
                <wp:positionH relativeFrom="margin">
                  <wp:posOffset>205740</wp:posOffset>
                </wp:positionH>
                <wp:positionV relativeFrom="paragraph">
                  <wp:posOffset>191136</wp:posOffset>
                </wp:positionV>
                <wp:extent cx="5086350" cy="2286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5086350" cy="228600"/>
                        </a:xfrm>
                        <a:prstGeom prst="rect">
                          <a:avLst/>
                        </a:prstGeom>
                        <a:solidFill>
                          <a:prstClr val="white"/>
                        </a:solidFill>
                        <a:ln>
                          <a:noFill/>
                        </a:ln>
                        <a:effectLst/>
                      </wps:spPr>
                      <wps:txbx>
                        <w:txbxContent>
                          <w:p w14:paraId="3424A322" w14:textId="77777777" w:rsidR="003D0CE5" w:rsidRPr="00A15D72" w:rsidRDefault="003D0CE5" w:rsidP="00A15D72">
                            <w:pPr>
                              <w:pStyle w:val="Legenda"/>
                              <w:jc w:val="center"/>
                              <w:rPr>
                                <w:rFonts w:ascii="Palatino Linotype" w:hAnsi="Palatino Linotype"/>
                                <w:b w:val="0"/>
                                <w:noProof/>
                                <w:sz w:val="18"/>
                                <w:szCs w:val="18"/>
                              </w:rPr>
                            </w:pPr>
                            <w:r w:rsidRPr="00A15D72">
                              <w:rPr>
                                <w:rFonts w:ascii="Palatino Linotype" w:hAnsi="Palatino Linotype"/>
                                <w:sz w:val="18"/>
                                <w:szCs w:val="18"/>
                              </w:rPr>
                              <w:t xml:space="preserve">Figura </w:t>
                            </w:r>
                            <w:r w:rsidRPr="00A15D72">
                              <w:rPr>
                                <w:rFonts w:ascii="Palatino Linotype" w:hAnsi="Palatino Linotype"/>
                                <w:sz w:val="18"/>
                                <w:szCs w:val="18"/>
                              </w:rPr>
                              <w:fldChar w:fldCharType="begin"/>
                            </w:r>
                            <w:r w:rsidRPr="00A15D72">
                              <w:rPr>
                                <w:rFonts w:ascii="Palatino Linotype" w:hAnsi="Palatino Linotype"/>
                                <w:sz w:val="18"/>
                                <w:szCs w:val="18"/>
                              </w:rPr>
                              <w:instrText xml:space="preserve"> SEQ Figura \* ARABIC </w:instrText>
                            </w:r>
                            <w:r w:rsidRPr="00A15D72">
                              <w:rPr>
                                <w:rFonts w:ascii="Palatino Linotype" w:hAnsi="Palatino Linotype"/>
                                <w:sz w:val="18"/>
                                <w:szCs w:val="18"/>
                              </w:rPr>
                              <w:fldChar w:fldCharType="separate"/>
                            </w:r>
                            <w:r w:rsidR="00252753">
                              <w:rPr>
                                <w:rFonts w:ascii="Palatino Linotype" w:hAnsi="Palatino Linotype"/>
                                <w:noProof/>
                                <w:sz w:val="18"/>
                                <w:szCs w:val="18"/>
                              </w:rPr>
                              <w:t>3</w:t>
                            </w:r>
                            <w:r w:rsidRPr="00A15D72">
                              <w:rPr>
                                <w:rFonts w:ascii="Palatino Linotype" w:hAnsi="Palatino Linotype"/>
                                <w:sz w:val="18"/>
                                <w:szCs w:val="18"/>
                              </w:rPr>
                              <w:fldChar w:fldCharType="end"/>
                            </w:r>
                            <w:r>
                              <w:rPr>
                                <w:rFonts w:ascii="Palatino Linotype" w:hAnsi="Palatino Linotype"/>
                                <w:sz w:val="18"/>
                                <w:szCs w:val="18"/>
                              </w:rPr>
                              <w:t>:</w:t>
                            </w:r>
                            <w:r>
                              <w:rPr>
                                <w:rFonts w:ascii="Palatino Linotype" w:hAnsi="Palatino Linotype"/>
                                <w:b w:val="0"/>
                                <w:sz w:val="18"/>
                                <w:szCs w:val="18"/>
                              </w:rPr>
                              <w:t xml:space="preserve"> Comparação da </w:t>
                            </w:r>
                            <w:r w:rsidRPr="00A15D72">
                              <w:rPr>
                                <w:rFonts w:ascii="Palatino Linotype" w:hAnsi="Palatino Linotype"/>
                                <w:b w:val="0"/>
                                <w:sz w:val="18"/>
                                <w:szCs w:val="18"/>
                              </w:rPr>
                              <w:t>fonte de financiamento das companhias abertas no Brasil (Em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24A313" id="Caixa de texto 5" o:spid="_x0000_s1028" type="#_x0000_t202" style="position:absolute;left:0;text-align:left;margin-left:16.2pt;margin-top:15.05pt;width:400.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" stroked="f">
                <v:textbox inset="0,0,0,0">
                  <w:txbxContent>
                    <w:p w14:paraId="3424A322" w14:textId="77777777" w:rsidR="003D0CE5" w:rsidRPr="00A15D72" w:rsidRDefault="003D0CE5" w:rsidP="00A15D72">
                      <w:pPr>
                        <w:pStyle w:val="Legenda"/>
                        <w:jc w:val="center"/>
                        <w:rPr>
                          <w:rFonts w:ascii="Palatino Linotype" w:hAnsi="Palatino Linotype"/>
                          <w:b w:val="0"/>
                          <w:noProof/>
                          <w:sz w:val="18"/>
                          <w:szCs w:val="18"/>
                        </w:rPr>
                      </w:pPr>
                      <w:r w:rsidRPr="00A15D72">
                        <w:rPr>
                          <w:rFonts w:ascii="Palatino Linotype" w:hAnsi="Palatino Linotype"/>
                          <w:sz w:val="18"/>
                          <w:szCs w:val="18"/>
                        </w:rPr>
                        <w:t xml:space="preserve">Figura </w:t>
                      </w:r>
                      <w:r w:rsidRPr="00A15D72">
                        <w:rPr>
                          <w:rFonts w:ascii="Palatino Linotype" w:hAnsi="Palatino Linotype"/>
                          <w:sz w:val="18"/>
                          <w:szCs w:val="18"/>
                        </w:rPr>
                        <w:fldChar w:fldCharType="begin"/>
                      </w:r>
                      <w:r w:rsidRPr="00A15D72">
                        <w:rPr>
                          <w:rFonts w:ascii="Palatino Linotype" w:hAnsi="Palatino Linotype"/>
                          <w:sz w:val="18"/>
                          <w:szCs w:val="18"/>
                        </w:rPr>
                        <w:instrText xml:space="preserve"> SEQ Figura \* ARABIC </w:instrText>
                      </w:r>
                      <w:r w:rsidRPr="00A15D72">
                        <w:rPr>
                          <w:rFonts w:ascii="Palatino Linotype" w:hAnsi="Palatino Linotype"/>
                          <w:sz w:val="18"/>
                          <w:szCs w:val="18"/>
                        </w:rPr>
                        <w:fldChar w:fldCharType="separate"/>
                      </w:r>
                      <w:r w:rsidR="00252753">
                        <w:rPr>
                          <w:rFonts w:ascii="Palatino Linotype" w:hAnsi="Palatino Linotype"/>
                          <w:noProof/>
                          <w:sz w:val="18"/>
                          <w:szCs w:val="18"/>
                        </w:rPr>
                        <w:t>3</w:t>
                      </w:r>
                      <w:r w:rsidRPr="00A15D72">
                        <w:rPr>
                          <w:rFonts w:ascii="Palatino Linotype" w:hAnsi="Palatino Linotype"/>
                          <w:sz w:val="18"/>
                          <w:szCs w:val="18"/>
                        </w:rPr>
                        <w:fldChar w:fldCharType="end"/>
                      </w:r>
                      <w:r>
                        <w:rPr>
                          <w:rFonts w:ascii="Palatino Linotype" w:hAnsi="Palatino Linotype"/>
                          <w:sz w:val="18"/>
                          <w:szCs w:val="18"/>
                        </w:rPr>
                        <w:t>:</w:t>
                      </w:r>
                      <w:r>
                        <w:rPr>
                          <w:rFonts w:ascii="Palatino Linotype" w:hAnsi="Palatino Linotype"/>
                          <w:b w:val="0"/>
                          <w:sz w:val="18"/>
                          <w:szCs w:val="18"/>
                        </w:rPr>
                        <w:t xml:space="preserve"> Comparação da </w:t>
                      </w:r>
                      <w:r w:rsidRPr="00A15D72">
                        <w:rPr>
                          <w:rFonts w:ascii="Palatino Linotype" w:hAnsi="Palatino Linotype"/>
                          <w:b w:val="0"/>
                          <w:sz w:val="18"/>
                          <w:szCs w:val="18"/>
                        </w:rPr>
                        <w:t>fonte de financiamento das companhias abertas no Brasil (Em %).</w:t>
                      </w:r>
                    </w:p>
                  </w:txbxContent>
                </v:textbox>
                <w10:wrap anchorx="margin"/>
              </v:shape>
            </w:pict>
          </mc:Fallback>
        </mc:AlternateContent>
      </w:r>
    </w:p>
    <w:p w14:paraId="3424A2AB" w14:textId="77777777" w:rsidR="00005715" w:rsidRPr="00E4187D" w:rsidRDefault="00C0184A" w:rsidP="00E4187D">
      <w:pPr>
        <w:pStyle w:val="PargrafodaLista"/>
        <w:ind w:left="0" w:firstLine="709"/>
        <w:jc w:val="left"/>
        <w:rPr>
          <w:rFonts w:ascii="Palatino Linotype" w:hAnsi="Palatino Linotype"/>
          <w:sz w:val="22"/>
          <w:szCs w:val="22"/>
        </w:rPr>
      </w:pPr>
      <w:r w:rsidRPr="00734EB7">
        <w:rPr>
          <w:rFonts w:ascii="Palatino Linotype" w:hAnsi="Palatino Linotype"/>
          <w:b/>
          <w:noProof/>
          <w:lang w:eastAsia="pt-BR"/>
        </w:rPr>
        <w:drawing>
          <wp:anchor distT="0" distB="0" distL="114300" distR="114300" simplePos="0" relativeHeight="251661312" behindDoc="0" locked="0" layoutInCell="1" allowOverlap="1" wp14:anchorId="3424A315" wp14:editId="79B83A76">
            <wp:simplePos x="0" y="0"/>
            <wp:positionH relativeFrom="margin">
              <wp:align>center</wp:align>
            </wp:positionH>
            <wp:positionV relativeFrom="paragraph">
              <wp:posOffset>291465</wp:posOffset>
            </wp:positionV>
            <wp:extent cx="5381625" cy="3181350"/>
            <wp:effectExtent l="0" t="0" r="9525" b="0"/>
            <wp:wrapTopAndBottom/>
            <wp:docPr id="33"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424A2AC" w14:textId="77777777" w:rsidR="00005715" w:rsidRPr="00E4187D" w:rsidRDefault="00147F80" w:rsidP="00837A7C">
      <w:pPr>
        <w:ind w:firstLine="0"/>
        <w:jc w:val="left"/>
        <w:rPr>
          <w:rFonts w:ascii="Palatino Linotype" w:hAnsi="Palatino Linotype"/>
          <w:sz w:val="22"/>
        </w:rPr>
      </w:pPr>
      <w:r>
        <w:rPr>
          <w:rFonts w:ascii="Palatino Linotype" w:hAnsi="Palatino Linotype"/>
          <w:b/>
          <w:sz w:val="18"/>
          <w:szCs w:val="18"/>
        </w:rPr>
        <w:t xml:space="preserve">           </w:t>
      </w:r>
      <w:r w:rsidR="00005715" w:rsidRPr="00A15D72">
        <w:rPr>
          <w:rFonts w:ascii="Palatino Linotype" w:hAnsi="Palatino Linotype"/>
          <w:b/>
          <w:sz w:val="18"/>
          <w:szCs w:val="18"/>
        </w:rPr>
        <w:t>Fonte</w:t>
      </w:r>
      <w:r w:rsidR="00A15D72">
        <w:rPr>
          <w:rFonts w:ascii="Palatino Linotype" w:hAnsi="Palatino Linotype"/>
          <w:b/>
          <w:sz w:val="18"/>
          <w:szCs w:val="18"/>
        </w:rPr>
        <w:t>.</w:t>
      </w:r>
      <w:r w:rsidR="00005715" w:rsidRPr="00A15D72">
        <w:rPr>
          <w:rFonts w:ascii="Palatino Linotype" w:hAnsi="Palatino Linotype"/>
          <w:sz w:val="18"/>
          <w:szCs w:val="18"/>
        </w:rPr>
        <w:t xml:space="preserve"> Adaptado de Moreira e Puga (2000)</w:t>
      </w:r>
    </w:p>
    <w:p w14:paraId="3424A2AD" w14:textId="77777777" w:rsidR="00147F80" w:rsidRDefault="00147F80" w:rsidP="00E4187D">
      <w:pPr>
        <w:rPr>
          <w:rFonts w:ascii="Palatino Linotype" w:hAnsi="Palatino Linotype"/>
          <w:sz w:val="22"/>
        </w:rPr>
      </w:pPr>
    </w:p>
    <w:p w14:paraId="3424A2AE" w14:textId="77777777" w:rsidR="00005715" w:rsidRPr="00E4187D" w:rsidRDefault="00837A7C" w:rsidP="00E4187D">
      <w:pPr>
        <w:rPr>
          <w:rFonts w:ascii="Palatino Linotype" w:hAnsi="Palatino Linotype"/>
          <w:sz w:val="22"/>
        </w:rPr>
      </w:pPr>
      <w:r>
        <w:rPr>
          <w:rFonts w:ascii="Palatino Linotype" w:hAnsi="Palatino Linotype"/>
          <w:sz w:val="22"/>
        </w:rPr>
        <w:t>Apesar da amostra da</w:t>
      </w:r>
      <w:r w:rsidR="00005715" w:rsidRPr="00E4187D">
        <w:rPr>
          <w:rFonts w:ascii="Palatino Linotype" w:hAnsi="Palatino Linotype"/>
          <w:sz w:val="22"/>
        </w:rPr>
        <w:t xml:space="preserve"> presente </w:t>
      </w:r>
      <w:r>
        <w:rPr>
          <w:rFonts w:ascii="Palatino Linotype" w:hAnsi="Palatino Linotype"/>
          <w:sz w:val="22"/>
        </w:rPr>
        <w:t>pesquisa</w:t>
      </w:r>
      <w:r w:rsidR="00005715" w:rsidRPr="00E4187D">
        <w:rPr>
          <w:rFonts w:ascii="Palatino Linotype" w:hAnsi="Palatino Linotype"/>
          <w:sz w:val="22"/>
        </w:rPr>
        <w:t xml:space="preserve"> analisar diferentes segmentos, ao contrário dos estudos anteriores realiza</w:t>
      </w:r>
      <w:r>
        <w:rPr>
          <w:rFonts w:ascii="Palatino Linotype" w:hAnsi="Palatino Linotype"/>
          <w:sz w:val="22"/>
        </w:rPr>
        <w:t xml:space="preserve">dos por Moreira e Puga (2000), </w:t>
      </w:r>
      <w:r w:rsidR="00005715" w:rsidRPr="00E4187D">
        <w:rPr>
          <w:rFonts w:ascii="Palatino Linotype" w:hAnsi="Palatino Linotype"/>
          <w:sz w:val="22"/>
        </w:rPr>
        <w:t>Zonenschain (1998) e Singh (1995)</w:t>
      </w:r>
      <w:r>
        <w:rPr>
          <w:rFonts w:ascii="Palatino Linotype" w:hAnsi="Palatino Linotype"/>
          <w:sz w:val="22"/>
        </w:rPr>
        <w:t>,</w:t>
      </w:r>
      <w:r w:rsidR="00005715" w:rsidRPr="00E4187D">
        <w:rPr>
          <w:rFonts w:ascii="Palatino Linotype" w:hAnsi="Palatino Linotype"/>
          <w:sz w:val="22"/>
        </w:rPr>
        <w:t xml:space="preserve"> no qual estudaram companhias industriais, os resultados deste estudo corroboraram com os resultados </w:t>
      </w:r>
      <w:r>
        <w:rPr>
          <w:rFonts w:ascii="Palatino Linotype" w:hAnsi="Palatino Linotype"/>
          <w:sz w:val="22"/>
        </w:rPr>
        <w:t xml:space="preserve">dos </w:t>
      </w:r>
      <w:r w:rsidR="00005715" w:rsidRPr="00E4187D">
        <w:rPr>
          <w:rFonts w:ascii="Palatino Linotype" w:hAnsi="Palatino Linotype"/>
          <w:sz w:val="22"/>
        </w:rPr>
        <w:t>estudos anteriores</w:t>
      </w:r>
      <w:r>
        <w:rPr>
          <w:rFonts w:ascii="Palatino Linotype" w:hAnsi="Palatino Linotype"/>
          <w:sz w:val="22"/>
        </w:rPr>
        <w:t>,</w:t>
      </w:r>
      <w:r w:rsidR="00005715" w:rsidRPr="00E4187D">
        <w:rPr>
          <w:rFonts w:ascii="Palatino Linotype" w:hAnsi="Palatino Linotype"/>
          <w:sz w:val="22"/>
        </w:rPr>
        <w:t xml:space="preserve"> no que diz respeito ao autofinanciamento como principal fonte de financiamento das companhias abertas no Brasil.</w:t>
      </w:r>
    </w:p>
    <w:p w14:paraId="3424A2AF" w14:textId="77777777" w:rsidR="00005715" w:rsidRPr="00E4187D" w:rsidRDefault="00005715" w:rsidP="00E4187D">
      <w:pPr>
        <w:rPr>
          <w:rFonts w:ascii="Palatino Linotype" w:hAnsi="Palatino Linotype"/>
          <w:sz w:val="22"/>
        </w:rPr>
      </w:pPr>
      <w:r w:rsidRPr="00E4187D">
        <w:rPr>
          <w:rFonts w:ascii="Palatino Linotype" w:hAnsi="Palatino Linotype"/>
          <w:sz w:val="22"/>
        </w:rPr>
        <w:lastRenderedPageBreak/>
        <w:t xml:space="preserve"> Observa-se que no presente estudo foi possível evidenciar que 51% das companhias da amostra optam pelo autofinanciamento</w:t>
      </w:r>
      <w:r w:rsidR="00837A7C">
        <w:rPr>
          <w:rFonts w:ascii="Palatino Linotype" w:hAnsi="Palatino Linotype"/>
          <w:sz w:val="22"/>
        </w:rPr>
        <w:t>.</w:t>
      </w:r>
      <w:r w:rsidRPr="00E4187D">
        <w:rPr>
          <w:rFonts w:ascii="Palatino Linotype" w:hAnsi="Palatino Linotype"/>
          <w:sz w:val="22"/>
        </w:rPr>
        <w:t xml:space="preserve"> Moreira e Puga (2000</w:t>
      </w:r>
      <w:r w:rsidR="00837A7C">
        <w:rPr>
          <w:rFonts w:ascii="Palatino Linotype" w:hAnsi="Palatino Linotype"/>
          <w:sz w:val="22"/>
        </w:rPr>
        <w:t>) por sua vez, evidenciaram 54%.</w:t>
      </w:r>
      <w:r w:rsidRPr="00E4187D">
        <w:rPr>
          <w:rFonts w:ascii="Palatino Linotype" w:hAnsi="Palatino Linotype"/>
          <w:sz w:val="22"/>
        </w:rPr>
        <w:t xml:space="preserve"> Zone</w:t>
      </w:r>
      <w:r w:rsidR="001E6724">
        <w:rPr>
          <w:rFonts w:ascii="Palatino Linotype" w:hAnsi="Palatino Linotype"/>
          <w:sz w:val="22"/>
        </w:rPr>
        <w:t>n</w:t>
      </w:r>
      <w:r w:rsidRPr="00E4187D">
        <w:rPr>
          <w:rFonts w:ascii="Palatino Linotype" w:hAnsi="Palatino Linotype"/>
          <w:sz w:val="22"/>
        </w:rPr>
        <w:t>schain (1998) no períod</w:t>
      </w:r>
      <w:r w:rsidR="00837A7C">
        <w:rPr>
          <w:rFonts w:ascii="Palatino Linotype" w:hAnsi="Palatino Linotype"/>
          <w:sz w:val="22"/>
        </w:rPr>
        <w:t>o de curto prazo dos anos 1995 à</w:t>
      </w:r>
      <w:r w:rsidRPr="00E4187D">
        <w:rPr>
          <w:rFonts w:ascii="Palatino Linotype" w:hAnsi="Palatino Linotype"/>
          <w:sz w:val="22"/>
        </w:rPr>
        <w:t xml:space="preserve"> 1996 obtiveram 55,5% e Singh (1995) obteve o maior percentual referente ao autofinanciamento representando 56,4%.</w:t>
      </w:r>
    </w:p>
    <w:p w14:paraId="3424A2B0" w14:textId="77777777" w:rsidR="00005715" w:rsidRPr="00E4187D" w:rsidRDefault="00837A7C" w:rsidP="00E4187D">
      <w:pPr>
        <w:rPr>
          <w:rFonts w:ascii="Palatino Linotype" w:hAnsi="Palatino Linotype"/>
          <w:sz w:val="22"/>
        </w:rPr>
      </w:pPr>
      <w:r>
        <w:rPr>
          <w:rFonts w:ascii="Palatino Linotype" w:hAnsi="Palatino Linotype"/>
          <w:sz w:val="22"/>
        </w:rPr>
        <w:t>Logo, observa-se mais uma vez</w:t>
      </w:r>
      <w:r w:rsidR="00005715" w:rsidRPr="00E4187D">
        <w:rPr>
          <w:rFonts w:ascii="Palatino Linotype" w:hAnsi="Palatino Linotype"/>
          <w:sz w:val="22"/>
        </w:rPr>
        <w:t xml:space="preserve"> a confirmação da </w:t>
      </w:r>
      <w:r w:rsidR="00005715" w:rsidRPr="00837A7C">
        <w:rPr>
          <w:rFonts w:ascii="Palatino Linotype" w:hAnsi="Palatino Linotype"/>
          <w:i/>
          <w:sz w:val="22"/>
        </w:rPr>
        <w:t>Pecking Order Theory</w:t>
      </w:r>
      <w:r w:rsidR="00005715" w:rsidRPr="00E4187D">
        <w:rPr>
          <w:rFonts w:ascii="Palatino Linotype" w:hAnsi="Palatino Linotype"/>
          <w:sz w:val="22"/>
        </w:rPr>
        <w:t xml:space="preserve"> com sua hierarquização de fontes de financiamento (Myers &amp; Majluf, 1984), para explicar as formas d</w:t>
      </w:r>
      <w:r>
        <w:rPr>
          <w:rFonts w:ascii="Palatino Linotype" w:hAnsi="Palatino Linotype"/>
          <w:sz w:val="22"/>
        </w:rPr>
        <w:t xml:space="preserve">e financiamento das companhias </w:t>
      </w:r>
      <w:r w:rsidR="00005715" w:rsidRPr="00E4187D">
        <w:rPr>
          <w:rFonts w:ascii="Palatino Linotype" w:hAnsi="Palatino Linotype"/>
          <w:sz w:val="22"/>
        </w:rPr>
        <w:t xml:space="preserve">nos diversos estudos </w:t>
      </w:r>
      <w:r w:rsidR="00E21B08">
        <w:rPr>
          <w:rFonts w:ascii="Palatino Linotype" w:hAnsi="Palatino Linotype"/>
          <w:sz w:val="22"/>
        </w:rPr>
        <w:t>em análise comparativa.</w:t>
      </w:r>
    </w:p>
    <w:p w14:paraId="3424A2B1"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entendimento de Singh (1995)</w:t>
      </w:r>
      <w:r w:rsidR="00E21B08">
        <w:rPr>
          <w:rFonts w:ascii="Palatino Linotype" w:hAnsi="Palatino Linotype"/>
          <w:sz w:val="22"/>
        </w:rPr>
        <w:t>,</w:t>
      </w:r>
      <w:r w:rsidRPr="00E4187D">
        <w:rPr>
          <w:rFonts w:ascii="Palatino Linotype" w:hAnsi="Palatino Linotype"/>
          <w:sz w:val="22"/>
        </w:rPr>
        <w:t xml:space="preserve"> a percentagem de 56,4% de autofinanciamento se expressou por motivos como: baixo desenvolvimento de fontes externas de financiamento, e </w:t>
      </w:r>
      <w:r w:rsidR="00E21B08">
        <w:rPr>
          <w:rFonts w:ascii="Palatino Linotype" w:hAnsi="Palatino Linotype"/>
          <w:sz w:val="22"/>
        </w:rPr>
        <w:t>por</w:t>
      </w:r>
      <w:r w:rsidRPr="00E4187D">
        <w:rPr>
          <w:rFonts w:ascii="Palatino Linotype" w:hAnsi="Palatino Linotype"/>
          <w:sz w:val="22"/>
        </w:rPr>
        <w:t xml:space="preserve"> taxas elevadas de juros</w:t>
      </w:r>
      <w:r w:rsidR="00E21B08">
        <w:rPr>
          <w:rFonts w:ascii="Palatino Linotype" w:hAnsi="Palatino Linotype"/>
          <w:sz w:val="22"/>
        </w:rPr>
        <w:t>,</w:t>
      </w:r>
      <w:r w:rsidRPr="00E4187D">
        <w:rPr>
          <w:rFonts w:ascii="Palatino Linotype" w:hAnsi="Palatino Linotype"/>
          <w:sz w:val="22"/>
        </w:rPr>
        <w:t xml:space="preserve"> praticadas por financiadores. Estes resultados também podem estar vinculados às características institucionais do país, como o sistema legal </w:t>
      </w:r>
      <w:r w:rsidRPr="00E21B08">
        <w:rPr>
          <w:rFonts w:ascii="Palatino Linotype" w:hAnsi="Palatino Linotype"/>
          <w:i/>
          <w:sz w:val="22"/>
        </w:rPr>
        <w:t>Code law</w:t>
      </w:r>
      <w:r w:rsidRPr="00E4187D">
        <w:rPr>
          <w:rFonts w:ascii="Palatino Linotype" w:hAnsi="Palatino Linotype"/>
          <w:sz w:val="22"/>
        </w:rPr>
        <w:t xml:space="preserve"> e o sistema financeiro das empresas dos países com cultura tipo 2 (fraco </w:t>
      </w:r>
      <w:r w:rsidRPr="00E21B08">
        <w:rPr>
          <w:rFonts w:ascii="Palatino Linotype" w:hAnsi="Palatino Linotype"/>
          <w:i/>
          <w:sz w:val="22"/>
        </w:rPr>
        <w:t>outsider equity</w:t>
      </w:r>
      <w:r w:rsidRPr="00E4187D">
        <w:rPr>
          <w:rFonts w:ascii="Palatino Linotype" w:hAnsi="Palatino Linotype"/>
          <w:sz w:val="22"/>
        </w:rPr>
        <w:t>).</w:t>
      </w:r>
    </w:p>
    <w:p w14:paraId="3424A2B2" w14:textId="77777777" w:rsidR="00C00A5D" w:rsidRDefault="001E6724" w:rsidP="00E4187D">
      <w:pPr>
        <w:rPr>
          <w:rFonts w:ascii="Palatino Linotype" w:hAnsi="Palatino Linotype"/>
          <w:sz w:val="22"/>
        </w:rPr>
      </w:pPr>
      <w:r>
        <w:rPr>
          <w:rFonts w:ascii="Palatino Linotype" w:hAnsi="Palatino Linotype"/>
          <w:sz w:val="22"/>
        </w:rPr>
        <w:t>Quanto a</w:t>
      </w:r>
      <w:r w:rsidR="00005715" w:rsidRPr="00E4187D">
        <w:rPr>
          <w:rFonts w:ascii="Palatino Linotype" w:hAnsi="Palatino Linotype"/>
          <w:sz w:val="22"/>
        </w:rPr>
        <w:t xml:space="preserve">s divergências encontradas, </w:t>
      </w:r>
      <w:r>
        <w:rPr>
          <w:rFonts w:ascii="Palatino Linotype" w:hAnsi="Palatino Linotype"/>
          <w:sz w:val="22"/>
        </w:rPr>
        <w:t xml:space="preserve">tem-se </w:t>
      </w:r>
      <w:r w:rsidR="00005715" w:rsidRPr="00E4187D">
        <w:rPr>
          <w:rFonts w:ascii="Palatino Linotype" w:hAnsi="Palatino Linotype"/>
          <w:sz w:val="22"/>
        </w:rPr>
        <w:t xml:space="preserve">os resultados em longo prazo de Zonenschain (1998) no qual, correspondeu os anos de 1989 </w:t>
      </w:r>
      <w:r w:rsidR="00E21B08">
        <w:rPr>
          <w:rFonts w:ascii="Palatino Linotype" w:hAnsi="Palatino Linotype"/>
          <w:sz w:val="22"/>
        </w:rPr>
        <w:t>à</w:t>
      </w:r>
      <w:r>
        <w:rPr>
          <w:rFonts w:ascii="Palatino Linotype" w:hAnsi="Palatino Linotype"/>
          <w:sz w:val="22"/>
        </w:rPr>
        <w:t xml:space="preserve"> 1996, conforme a pesquisa de Zonenschain (1998)</w:t>
      </w:r>
      <w:r w:rsidR="00005715" w:rsidRPr="00E4187D">
        <w:rPr>
          <w:rFonts w:ascii="Palatino Linotype" w:hAnsi="Palatino Linotype"/>
          <w:sz w:val="22"/>
        </w:rPr>
        <w:t xml:space="preserve"> a emissão de ações correspondeu a 48</w:t>
      </w:r>
      <w:r w:rsidR="00E21B08">
        <w:rPr>
          <w:rFonts w:ascii="Palatino Linotype" w:hAnsi="Palatino Linotype"/>
          <w:sz w:val="22"/>
        </w:rPr>
        <w:t>%, seguido de endividamento 27% e</w:t>
      </w:r>
      <w:r w:rsidR="00005715" w:rsidRPr="00E4187D">
        <w:rPr>
          <w:rFonts w:ascii="Palatino Linotype" w:hAnsi="Palatino Linotype"/>
          <w:sz w:val="22"/>
        </w:rPr>
        <w:t xml:space="preserve"> finalizando pelo autofinanciamento</w:t>
      </w:r>
      <w:r w:rsidR="00E21B08">
        <w:rPr>
          <w:rFonts w:ascii="Palatino Linotype" w:hAnsi="Palatino Linotype"/>
          <w:sz w:val="22"/>
        </w:rPr>
        <w:t>,</w:t>
      </w:r>
      <w:r w:rsidR="00005715" w:rsidRPr="00E4187D">
        <w:rPr>
          <w:rFonts w:ascii="Palatino Linotype" w:hAnsi="Palatino Linotype"/>
          <w:sz w:val="22"/>
        </w:rPr>
        <w:t xml:space="preserve"> representado por 25% das companhias estudadas. Tais resultados divergem dos pressupostos </w:t>
      </w:r>
      <w:r w:rsidR="00005715" w:rsidRPr="00691CCB">
        <w:rPr>
          <w:rFonts w:ascii="Palatino Linotype" w:hAnsi="Palatino Linotype"/>
          <w:sz w:val="22"/>
        </w:rPr>
        <w:t>da</w:t>
      </w:r>
      <w:r w:rsidR="00005715" w:rsidRPr="00E21B08">
        <w:rPr>
          <w:rFonts w:ascii="Palatino Linotype" w:hAnsi="Palatino Linotype"/>
          <w:i/>
          <w:sz w:val="22"/>
        </w:rPr>
        <w:t xml:space="preserve"> Pecking Order Theory</w:t>
      </w:r>
      <w:r w:rsidR="00005715" w:rsidRPr="00E4187D">
        <w:rPr>
          <w:rFonts w:ascii="Palatino Linotype" w:hAnsi="Palatino Linotype"/>
          <w:sz w:val="22"/>
        </w:rPr>
        <w:t xml:space="preserve">, no entanto, podem ser interpretados pela </w:t>
      </w:r>
      <w:r w:rsidR="00005715" w:rsidRPr="00E21B08">
        <w:rPr>
          <w:rFonts w:ascii="Palatino Linotype" w:hAnsi="Palatino Linotype"/>
          <w:i/>
          <w:sz w:val="22"/>
        </w:rPr>
        <w:t xml:space="preserve">Trade Off Theory </w:t>
      </w:r>
      <w:r w:rsidR="00005715" w:rsidRPr="00E4187D">
        <w:rPr>
          <w:rFonts w:ascii="Palatino Linotype" w:hAnsi="Palatino Linotype"/>
          <w:sz w:val="22"/>
        </w:rPr>
        <w:t>que vai em busca de uma melhor relação do custo benefício entre o capital auferido e seu respectivo custo.</w:t>
      </w:r>
    </w:p>
    <w:p w14:paraId="3424A2B3" w14:textId="77777777" w:rsidR="00005715" w:rsidRPr="00E4187D" w:rsidRDefault="00005715" w:rsidP="00E4187D">
      <w:pPr>
        <w:rPr>
          <w:rFonts w:ascii="Palatino Linotype" w:hAnsi="Palatino Linotype"/>
          <w:sz w:val="22"/>
        </w:rPr>
      </w:pPr>
      <w:r w:rsidRPr="00E4187D">
        <w:rPr>
          <w:rFonts w:ascii="Palatino Linotype" w:hAnsi="Palatino Linotype"/>
          <w:sz w:val="22"/>
        </w:rPr>
        <w:t>Outro resultado divergente refere-se aos achados de Singh (1995), no qual, o autofi</w:t>
      </w:r>
      <w:r w:rsidR="00E80AD6">
        <w:rPr>
          <w:rFonts w:ascii="Palatino Linotype" w:hAnsi="Palatino Linotype"/>
          <w:sz w:val="22"/>
        </w:rPr>
        <w:t>nanciamento representou 56,4</w:t>
      </w:r>
      <w:r w:rsidRPr="00E4187D">
        <w:rPr>
          <w:rFonts w:ascii="Palatino Linotype" w:hAnsi="Palatino Linotype"/>
          <w:sz w:val="22"/>
        </w:rPr>
        <w:t>%, no entanto</w:t>
      </w:r>
      <w:r w:rsidR="00E80AD6">
        <w:rPr>
          <w:rFonts w:ascii="Palatino Linotype" w:hAnsi="Palatino Linotype"/>
          <w:sz w:val="22"/>
        </w:rPr>
        <w:t>,</w:t>
      </w:r>
      <w:r w:rsidRPr="00E4187D">
        <w:rPr>
          <w:rFonts w:ascii="Palatino Linotype" w:hAnsi="Palatino Linotype"/>
          <w:sz w:val="22"/>
        </w:rPr>
        <w:t xml:space="preserve"> a segunda opção foi </w:t>
      </w:r>
      <w:r w:rsidR="00E80AD6" w:rsidRPr="00E4187D">
        <w:rPr>
          <w:rFonts w:ascii="Palatino Linotype" w:hAnsi="Palatino Linotype"/>
          <w:sz w:val="22"/>
        </w:rPr>
        <w:t>à</w:t>
      </w:r>
      <w:r w:rsidRPr="00E4187D">
        <w:rPr>
          <w:rFonts w:ascii="Palatino Linotype" w:hAnsi="Palatino Linotype"/>
          <w:sz w:val="22"/>
        </w:rPr>
        <w:t xml:space="preserve"> forma de financiamento via emissão de ações</w:t>
      </w:r>
      <w:r w:rsidR="00E80AD6">
        <w:rPr>
          <w:rFonts w:ascii="Palatino Linotype" w:hAnsi="Palatino Linotype"/>
          <w:sz w:val="22"/>
        </w:rPr>
        <w:t>,</w:t>
      </w:r>
      <w:r w:rsidRPr="00E4187D">
        <w:rPr>
          <w:rFonts w:ascii="Palatino Linotype" w:hAnsi="Palatino Linotype"/>
          <w:sz w:val="22"/>
        </w:rPr>
        <w:t xml:space="preserve"> representando 36% da amostra</w:t>
      </w:r>
      <w:r w:rsidR="00E80AD6">
        <w:rPr>
          <w:rFonts w:ascii="Palatino Linotype" w:hAnsi="Palatino Linotype"/>
          <w:sz w:val="22"/>
        </w:rPr>
        <w:t>, já</w:t>
      </w:r>
      <w:r w:rsidRPr="00E4187D">
        <w:rPr>
          <w:rFonts w:ascii="Palatino Linotype" w:hAnsi="Palatino Linotype"/>
          <w:sz w:val="22"/>
        </w:rPr>
        <w:t xml:space="preserve"> o endividamento</w:t>
      </w:r>
      <w:r w:rsidR="00E80AD6">
        <w:rPr>
          <w:rFonts w:ascii="Palatino Linotype" w:hAnsi="Palatino Linotype"/>
          <w:sz w:val="22"/>
        </w:rPr>
        <w:t xml:space="preserve"> correspondeu a terceira opção, indicando a porcentagem de</w:t>
      </w:r>
      <w:r w:rsidRPr="00E4187D">
        <w:rPr>
          <w:rFonts w:ascii="Palatino Linotype" w:hAnsi="Palatino Linotype"/>
          <w:sz w:val="22"/>
        </w:rPr>
        <w:t xml:space="preserve"> 7,7%</w:t>
      </w:r>
      <w:r w:rsidR="00E80AD6">
        <w:rPr>
          <w:rFonts w:ascii="Palatino Linotype" w:hAnsi="Palatino Linotype"/>
          <w:sz w:val="22"/>
        </w:rPr>
        <w:t>, estes r</w:t>
      </w:r>
      <w:r w:rsidRPr="00E4187D">
        <w:rPr>
          <w:rFonts w:ascii="Palatino Linotype" w:hAnsi="Palatino Linotype"/>
          <w:sz w:val="22"/>
        </w:rPr>
        <w:t xml:space="preserve">esultados também divergem da </w:t>
      </w:r>
      <w:r w:rsidRPr="00E80AD6">
        <w:rPr>
          <w:rFonts w:ascii="Palatino Linotype" w:hAnsi="Palatino Linotype"/>
          <w:i/>
          <w:sz w:val="22"/>
        </w:rPr>
        <w:t>Pecking Order Theory</w:t>
      </w:r>
      <w:r w:rsidRPr="00E4187D">
        <w:rPr>
          <w:rFonts w:ascii="Palatino Linotype" w:hAnsi="Palatino Linotype"/>
          <w:sz w:val="22"/>
        </w:rPr>
        <w:t xml:space="preserve">, entretanto, podem ser explicados pela </w:t>
      </w:r>
      <w:r w:rsidRPr="00E80AD6">
        <w:rPr>
          <w:rFonts w:ascii="Palatino Linotype" w:hAnsi="Palatino Linotype"/>
          <w:i/>
          <w:sz w:val="22"/>
        </w:rPr>
        <w:t>Trade Off Theory</w:t>
      </w:r>
      <w:r w:rsidRPr="00E4187D">
        <w:rPr>
          <w:rFonts w:ascii="Palatino Linotype" w:hAnsi="Palatino Linotype"/>
          <w:sz w:val="22"/>
        </w:rPr>
        <w:t xml:space="preserve">. Singh (1995) aponta como justificativa para tais resultados, a instabilidade macroeconômica e a crise das instituições de crédito do Estado naquela época. </w:t>
      </w:r>
    </w:p>
    <w:p w14:paraId="3424A2B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Observa-se pelos diversos estudos que tanto </w:t>
      </w:r>
      <w:r w:rsidRPr="002C4CAF">
        <w:rPr>
          <w:rFonts w:ascii="Palatino Linotype" w:hAnsi="Palatino Linotype"/>
          <w:i/>
          <w:sz w:val="22"/>
        </w:rPr>
        <w:t>a Pecking Order theory</w:t>
      </w:r>
      <w:r w:rsidRPr="00E4187D">
        <w:rPr>
          <w:rFonts w:ascii="Palatino Linotype" w:hAnsi="Palatino Linotype"/>
          <w:sz w:val="22"/>
        </w:rPr>
        <w:t xml:space="preserve"> quanto a </w:t>
      </w:r>
      <w:r w:rsidRPr="002C4CAF">
        <w:rPr>
          <w:rFonts w:ascii="Palatino Linotype" w:hAnsi="Palatino Linotype"/>
          <w:i/>
          <w:sz w:val="22"/>
        </w:rPr>
        <w:t>Trade Off Theory</w:t>
      </w:r>
      <w:r w:rsidRPr="00E4187D">
        <w:rPr>
          <w:rFonts w:ascii="Palatino Linotype" w:hAnsi="Palatino Linotype"/>
          <w:sz w:val="22"/>
        </w:rPr>
        <w:t xml:space="preserve">, podem ser utilizadas para </w:t>
      </w:r>
      <w:r w:rsidR="002C4CAF">
        <w:rPr>
          <w:rFonts w:ascii="Palatino Linotype" w:hAnsi="Palatino Linotype"/>
          <w:sz w:val="22"/>
        </w:rPr>
        <w:t xml:space="preserve">se </w:t>
      </w:r>
      <w:r w:rsidRPr="00E4187D">
        <w:rPr>
          <w:rFonts w:ascii="Palatino Linotype" w:hAnsi="Palatino Linotype"/>
          <w:sz w:val="22"/>
        </w:rPr>
        <w:t>entender as formas de financiamentos escolhidas pelas companhias</w:t>
      </w:r>
      <w:r w:rsidR="002C4CAF">
        <w:rPr>
          <w:rFonts w:ascii="Palatino Linotype" w:hAnsi="Palatino Linotype"/>
          <w:sz w:val="22"/>
        </w:rPr>
        <w:t>,</w:t>
      </w:r>
      <w:r w:rsidRPr="00E4187D">
        <w:rPr>
          <w:rFonts w:ascii="Palatino Linotype" w:hAnsi="Palatino Linotype"/>
          <w:sz w:val="22"/>
        </w:rPr>
        <w:t xml:space="preserve"> o que reforça os dizeres de Kaveski et al (2015) que mostrou a possibilidade de mais de uma teoria poder apoiar o entendimento da forma de financiamento adotada pelas companhias.</w:t>
      </w:r>
    </w:p>
    <w:p w14:paraId="3424A2B5" w14:textId="77777777" w:rsidR="00A15D72" w:rsidRDefault="00005715" w:rsidP="00E4187D">
      <w:pPr>
        <w:rPr>
          <w:rFonts w:ascii="Palatino Linotype" w:hAnsi="Palatino Linotype"/>
          <w:sz w:val="22"/>
        </w:rPr>
      </w:pPr>
      <w:r w:rsidRPr="00E4187D">
        <w:rPr>
          <w:rFonts w:ascii="Palatino Linotype" w:hAnsi="Palatino Linotype"/>
          <w:sz w:val="22"/>
        </w:rPr>
        <w:t xml:space="preserve">Neste sentido, os resultados da pesquisa, obtidos através da metodologia proposta por Singh e Hamid (1992), indicaram que o perfil de financiamento das companhias abertas brasileiras durante o </w:t>
      </w:r>
      <w:r w:rsidR="00C44C92">
        <w:rPr>
          <w:rFonts w:ascii="Palatino Linotype" w:hAnsi="Palatino Linotype"/>
          <w:sz w:val="22"/>
        </w:rPr>
        <w:t>período de 2005 à</w:t>
      </w:r>
      <w:r w:rsidRPr="00E4187D">
        <w:rPr>
          <w:rFonts w:ascii="Palatino Linotype" w:hAnsi="Palatino Linotype"/>
          <w:sz w:val="22"/>
        </w:rPr>
        <w:t xml:space="preserve"> 2015 teve como fonte principal o autofinanciamento, seguida </w:t>
      </w:r>
      <w:r w:rsidR="00C44C92">
        <w:rPr>
          <w:rFonts w:ascii="Palatino Linotype" w:hAnsi="Palatino Linotype"/>
          <w:sz w:val="22"/>
        </w:rPr>
        <w:t>pela</w:t>
      </w:r>
      <w:r w:rsidRPr="00E4187D">
        <w:rPr>
          <w:rFonts w:ascii="Palatino Linotype" w:hAnsi="Palatino Linotype"/>
          <w:sz w:val="22"/>
        </w:rPr>
        <w:t xml:space="preserve"> emissão de dívidas, e por fim, a emissão de ações, esta ordem condiz com a hierarquia na forma de financiamento, que sustenta a teoria do </w:t>
      </w:r>
      <w:r w:rsidRPr="00C44C92">
        <w:rPr>
          <w:rFonts w:ascii="Palatino Linotype" w:hAnsi="Palatino Linotype"/>
          <w:i/>
          <w:sz w:val="22"/>
        </w:rPr>
        <w:t>Pecking Order</w:t>
      </w:r>
      <w:r w:rsidRPr="00E4187D">
        <w:rPr>
          <w:rFonts w:ascii="Palatino Linotype" w:hAnsi="Palatino Linotype"/>
          <w:sz w:val="22"/>
        </w:rPr>
        <w:t xml:space="preserve">. Porém ao se analisar a fonte secundária de financiamento, observa-se que </w:t>
      </w:r>
      <w:r w:rsidRPr="00C44C92">
        <w:rPr>
          <w:rFonts w:ascii="Palatino Linotype" w:hAnsi="Palatino Linotype"/>
          <w:i/>
          <w:sz w:val="22"/>
        </w:rPr>
        <w:t>Trade Off Theory</w:t>
      </w:r>
      <w:r w:rsidRPr="00E4187D">
        <w:rPr>
          <w:rFonts w:ascii="Palatino Linotype" w:hAnsi="Palatino Linotype"/>
          <w:sz w:val="22"/>
        </w:rPr>
        <w:t xml:space="preserve"> se adequaria melhor </w:t>
      </w:r>
      <w:r w:rsidR="00C44C92">
        <w:rPr>
          <w:rFonts w:ascii="Palatino Linotype" w:hAnsi="Palatino Linotype"/>
          <w:sz w:val="22"/>
        </w:rPr>
        <w:t>para</w:t>
      </w:r>
      <w:r w:rsidRPr="00E4187D">
        <w:rPr>
          <w:rFonts w:ascii="Palatino Linotype" w:hAnsi="Palatino Linotype"/>
          <w:sz w:val="22"/>
        </w:rPr>
        <w:t xml:space="preserve"> explicar o cont</w:t>
      </w:r>
      <w:r w:rsidR="00C44C92">
        <w:rPr>
          <w:rFonts w:ascii="Palatino Linotype" w:hAnsi="Palatino Linotype"/>
          <w:sz w:val="22"/>
        </w:rPr>
        <w:t>exto das companhias brasileiras durante o período de investigação.</w:t>
      </w:r>
    </w:p>
    <w:p w14:paraId="5C4718B4" w14:textId="721E9925" w:rsidR="00760718" w:rsidRDefault="00C00A5D" w:rsidP="00E4187D">
      <w:pPr>
        <w:rPr>
          <w:rFonts w:ascii="Palatino Linotype" w:hAnsi="Palatino Linotype"/>
          <w:sz w:val="22"/>
        </w:rPr>
      </w:pPr>
      <w:r w:rsidRPr="002106A0">
        <w:rPr>
          <w:rFonts w:ascii="Palatino Linotype" w:hAnsi="Palatino Linotype"/>
          <w:sz w:val="22"/>
        </w:rPr>
        <w:t>Diante dessas divergências</w:t>
      </w:r>
      <w:r w:rsidR="00BE39BE" w:rsidRPr="002106A0">
        <w:rPr>
          <w:rFonts w:ascii="Palatino Linotype" w:hAnsi="Palatino Linotype"/>
          <w:sz w:val="22"/>
        </w:rPr>
        <w:t xml:space="preserve"> encontradas nos estudos anteriores,</w:t>
      </w:r>
      <w:r w:rsidR="00DB0ECB" w:rsidRPr="002106A0">
        <w:rPr>
          <w:rFonts w:ascii="Palatino Linotype" w:hAnsi="Palatino Linotype"/>
          <w:sz w:val="22"/>
        </w:rPr>
        <w:t xml:space="preserve"> ocasionadas por contextos, características institucionais</w:t>
      </w:r>
      <w:r w:rsidR="00A444BE" w:rsidRPr="002106A0">
        <w:rPr>
          <w:rFonts w:ascii="Palatino Linotype" w:hAnsi="Palatino Linotype"/>
          <w:sz w:val="22"/>
        </w:rPr>
        <w:t>, sistema legal</w:t>
      </w:r>
      <w:r w:rsidR="00DB0ECB" w:rsidRPr="002106A0">
        <w:rPr>
          <w:rFonts w:ascii="Palatino Linotype" w:hAnsi="Palatino Linotype"/>
          <w:sz w:val="22"/>
        </w:rPr>
        <w:t xml:space="preserve"> e </w:t>
      </w:r>
      <w:r w:rsidR="0049446C" w:rsidRPr="002106A0">
        <w:rPr>
          <w:rFonts w:ascii="Palatino Linotype" w:hAnsi="Palatino Linotype"/>
          <w:sz w:val="22"/>
        </w:rPr>
        <w:t>períodos diferentes</w:t>
      </w:r>
      <w:r w:rsidR="00BE39BE" w:rsidRPr="002106A0">
        <w:rPr>
          <w:rFonts w:ascii="Palatino Linotype" w:hAnsi="Palatino Linotype"/>
          <w:sz w:val="22"/>
        </w:rPr>
        <w:t>,</w:t>
      </w:r>
      <w:r w:rsidR="00A444BE" w:rsidRPr="002106A0">
        <w:rPr>
          <w:rFonts w:ascii="Palatino Linotype" w:hAnsi="Palatino Linotype"/>
          <w:sz w:val="22"/>
        </w:rPr>
        <w:t xml:space="preserve"> evidencia-se</w:t>
      </w:r>
      <w:r w:rsidRPr="002106A0">
        <w:rPr>
          <w:rFonts w:ascii="Palatino Linotype" w:hAnsi="Palatino Linotype"/>
          <w:sz w:val="22"/>
        </w:rPr>
        <w:t xml:space="preserve"> que houveram alterações na forma de financiamento das companhia</w:t>
      </w:r>
      <w:r w:rsidR="00C74B22">
        <w:rPr>
          <w:rFonts w:ascii="Palatino Linotype" w:hAnsi="Palatino Linotype"/>
          <w:sz w:val="22"/>
        </w:rPr>
        <w:t>s brasileiras de capital aberto, o que responde à questão de pesquisa proposta nesse estudo.</w:t>
      </w:r>
    </w:p>
    <w:p w14:paraId="2E8B871C" w14:textId="2D08BC8C" w:rsidR="00760718" w:rsidRDefault="00760718" w:rsidP="00E4187D">
      <w:pPr>
        <w:rPr>
          <w:rFonts w:ascii="Palatino Linotype" w:hAnsi="Palatino Linotype"/>
          <w:sz w:val="22"/>
        </w:rPr>
      </w:pPr>
    </w:p>
    <w:p w14:paraId="43361289" w14:textId="77777777" w:rsidR="00C74B22" w:rsidRDefault="00C74B22" w:rsidP="00E4187D">
      <w:pPr>
        <w:rPr>
          <w:rFonts w:ascii="Palatino Linotype" w:hAnsi="Palatino Linotype"/>
          <w:sz w:val="22"/>
        </w:rPr>
      </w:pPr>
    </w:p>
    <w:p w14:paraId="3424A2B7" w14:textId="77777777" w:rsidR="00005715" w:rsidRPr="00E4187D" w:rsidRDefault="00005715" w:rsidP="00E4187D">
      <w:pPr>
        <w:pStyle w:val="PargrafodaLista"/>
        <w:ind w:left="0" w:firstLine="709"/>
        <w:rPr>
          <w:rFonts w:ascii="Palatino Linotype" w:hAnsi="Palatino Linotype"/>
          <w:sz w:val="22"/>
          <w:szCs w:val="22"/>
        </w:rPr>
      </w:pPr>
    </w:p>
    <w:p w14:paraId="3424A2B8" w14:textId="77777777" w:rsidR="00005715" w:rsidRPr="00E4187D" w:rsidRDefault="00A15D72" w:rsidP="00A15D72">
      <w:pPr>
        <w:ind w:firstLine="0"/>
        <w:rPr>
          <w:rFonts w:ascii="Palatino Linotype" w:hAnsi="Palatino Linotype"/>
          <w:b/>
          <w:sz w:val="22"/>
        </w:rPr>
      </w:pPr>
      <w:r>
        <w:rPr>
          <w:rFonts w:ascii="Palatino Linotype" w:hAnsi="Palatino Linotype"/>
          <w:b/>
          <w:sz w:val="22"/>
        </w:rPr>
        <w:lastRenderedPageBreak/>
        <w:t xml:space="preserve">5 </w:t>
      </w:r>
      <w:r w:rsidR="00005715" w:rsidRPr="00E4187D">
        <w:rPr>
          <w:rFonts w:ascii="Palatino Linotype" w:hAnsi="Palatino Linotype"/>
          <w:b/>
          <w:sz w:val="22"/>
        </w:rPr>
        <w:t>CONSIDERAÇÕES FINAIS</w:t>
      </w:r>
    </w:p>
    <w:p w14:paraId="3424A2B9" w14:textId="77777777" w:rsidR="00005715" w:rsidRPr="00E4187D" w:rsidRDefault="00005715" w:rsidP="00A15D72">
      <w:pPr>
        <w:ind w:firstLine="708"/>
        <w:rPr>
          <w:rFonts w:ascii="Palatino Linotype" w:hAnsi="Palatino Linotype"/>
          <w:sz w:val="22"/>
        </w:rPr>
      </w:pPr>
      <w:r w:rsidRPr="00E4187D">
        <w:rPr>
          <w:rFonts w:ascii="Palatino Linotype" w:hAnsi="Palatino Linotype"/>
          <w:sz w:val="22"/>
        </w:rPr>
        <w:t>Considerando que as formas de financiamento que as companhias utilizam para financiar seus investimentos pode</w:t>
      </w:r>
      <w:r w:rsidR="00C44C92">
        <w:rPr>
          <w:rFonts w:ascii="Palatino Linotype" w:hAnsi="Palatino Linotype"/>
          <w:sz w:val="22"/>
        </w:rPr>
        <w:t xml:space="preserve">m ser por autofinanciamento, </w:t>
      </w:r>
      <w:r w:rsidRPr="00E4187D">
        <w:rPr>
          <w:rFonts w:ascii="Palatino Linotype" w:hAnsi="Palatino Linotype"/>
          <w:sz w:val="22"/>
        </w:rPr>
        <w:t xml:space="preserve">financiamento externo através de emissão de dívidas e/ou através da emissão de ações, e que esta estrutura de financiamento pode ser influenciada por diversos fatores como características institucionais do país como sistema legal, sistema financeiro e contábil, este estudo teve por objetivo principal </w:t>
      </w:r>
      <w:r w:rsidR="002B1D3F">
        <w:rPr>
          <w:rFonts w:ascii="Palatino Linotype" w:hAnsi="Palatino Linotype"/>
          <w:sz w:val="22"/>
        </w:rPr>
        <w:t>investigar</w:t>
      </w:r>
      <w:r w:rsidRPr="00E4187D">
        <w:rPr>
          <w:rFonts w:ascii="Palatino Linotype" w:hAnsi="Palatino Linotype"/>
          <w:sz w:val="22"/>
        </w:rPr>
        <w:t xml:space="preserve"> o perfil de financiamento das companhia</w:t>
      </w:r>
      <w:r w:rsidR="00C44C92">
        <w:rPr>
          <w:rFonts w:ascii="Palatino Linotype" w:hAnsi="Palatino Linotype"/>
          <w:sz w:val="22"/>
        </w:rPr>
        <w:t>s abertas brasileiras listadas n</w:t>
      </w:r>
      <w:r w:rsidRPr="00E4187D">
        <w:rPr>
          <w:rFonts w:ascii="Palatino Linotype" w:hAnsi="Palatino Linotype"/>
          <w:sz w:val="22"/>
        </w:rPr>
        <w:t xml:space="preserve">a BM&amp;FBovespa, compreendendo o período de 2005 </w:t>
      </w:r>
      <w:r w:rsidR="00C44C92">
        <w:rPr>
          <w:rFonts w:ascii="Palatino Linotype" w:hAnsi="Palatino Linotype"/>
          <w:sz w:val="22"/>
        </w:rPr>
        <w:t>à</w:t>
      </w:r>
      <w:r w:rsidRPr="00E4187D">
        <w:rPr>
          <w:rFonts w:ascii="Palatino Linotype" w:hAnsi="Palatino Linotype"/>
          <w:sz w:val="22"/>
        </w:rPr>
        <w:t xml:space="preserve"> 2015. Este </w:t>
      </w:r>
      <w:r w:rsidR="00C44C92">
        <w:rPr>
          <w:rFonts w:ascii="Palatino Linotype" w:hAnsi="Palatino Linotype"/>
          <w:sz w:val="22"/>
        </w:rPr>
        <w:t xml:space="preserve">estudo também </w:t>
      </w:r>
      <w:r w:rsidR="002B1D3F">
        <w:rPr>
          <w:rFonts w:ascii="Palatino Linotype" w:hAnsi="Palatino Linotype"/>
          <w:sz w:val="22"/>
        </w:rPr>
        <w:t>teve por objetivo complementar, realizar uma análise comparativa</w:t>
      </w:r>
      <w:r w:rsidRPr="00E4187D">
        <w:rPr>
          <w:rFonts w:ascii="Palatino Linotype" w:hAnsi="Palatino Linotype"/>
          <w:sz w:val="22"/>
        </w:rPr>
        <w:t xml:space="preserve"> com os resultados de estudos anteriores que abordaram a mesma temática e mesmos procedimentos metodológicos baseados </w:t>
      </w:r>
      <w:r w:rsidR="002B1D3F">
        <w:rPr>
          <w:rFonts w:ascii="Palatino Linotype" w:hAnsi="Palatino Linotype"/>
          <w:sz w:val="22"/>
        </w:rPr>
        <w:t xml:space="preserve">tanto na </w:t>
      </w:r>
      <w:r w:rsidRPr="00C44C92">
        <w:rPr>
          <w:rFonts w:ascii="Palatino Linotype" w:hAnsi="Palatino Linotype"/>
          <w:i/>
          <w:sz w:val="22"/>
        </w:rPr>
        <w:t>Pecking Order Theory</w:t>
      </w:r>
      <w:r w:rsidR="002B1D3F">
        <w:rPr>
          <w:rFonts w:ascii="Palatino Linotype" w:hAnsi="Palatino Linotype"/>
          <w:sz w:val="22"/>
        </w:rPr>
        <w:t xml:space="preserve"> quanto</w:t>
      </w:r>
      <w:r w:rsidRPr="00E4187D">
        <w:rPr>
          <w:rFonts w:ascii="Palatino Linotype" w:hAnsi="Palatino Linotype"/>
          <w:sz w:val="22"/>
        </w:rPr>
        <w:t xml:space="preserve"> na </w:t>
      </w:r>
      <w:r w:rsidRPr="00C44C92">
        <w:rPr>
          <w:rFonts w:ascii="Palatino Linotype" w:hAnsi="Palatino Linotype"/>
          <w:i/>
          <w:sz w:val="22"/>
        </w:rPr>
        <w:t>Trade Off Theory</w:t>
      </w:r>
      <w:r w:rsidRPr="00E4187D">
        <w:rPr>
          <w:rFonts w:ascii="Palatino Linotype" w:hAnsi="Palatino Linotype"/>
          <w:sz w:val="22"/>
        </w:rPr>
        <w:t>.</w:t>
      </w:r>
    </w:p>
    <w:p w14:paraId="3424A2BA" w14:textId="77777777" w:rsidR="00005715" w:rsidRPr="00E4187D" w:rsidRDefault="00005715" w:rsidP="00E4187D">
      <w:pPr>
        <w:rPr>
          <w:rFonts w:ascii="Palatino Linotype" w:hAnsi="Palatino Linotype"/>
          <w:sz w:val="22"/>
        </w:rPr>
      </w:pPr>
      <w:r w:rsidRPr="00E4187D">
        <w:rPr>
          <w:rFonts w:ascii="Palatino Linotype" w:hAnsi="Palatino Linotype"/>
          <w:sz w:val="22"/>
        </w:rPr>
        <w:t>Para que esses objetivos fossem atingidos foi utilizado o modelo proposto por Singh e Hamid (1992), o modelo escolhido decompõe a forma de financiamento das companhias em autofinanciamento, emissão de dívidas (endividamento), e por emissão de ações.</w:t>
      </w:r>
    </w:p>
    <w:p w14:paraId="3424A2BB" w14:textId="77777777" w:rsidR="00005715" w:rsidRPr="00E4187D" w:rsidRDefault="00005715" w:rsidP="00E4187D">
      <w:pPr>
        <w:rPr>
          <w:rFonts w:ascii="Palatino Linotype" w:hAnsi="Palatino Linotype"/>
          <w:sz w:val="22"/>
        </w:rPr>
      </w:pPr>
      <w:r w:rsidRPr="00E4187D">
        <w:rPr>
          <w:rFonts w:ascii="Palatino Linotype" w:hAnsi="Palatino Linotype"/>
          <w:sz w:val="22"/>
        </w:rPr>
        <w:t>Os resultados indicaram que o autofinanciamento é a principal fonte de financiamento das companhias, representando 51% da amostra, já o financiamento externo através do endividament</w:t>
      </w:r>
      <w:r w:rsidR="006F1BCE">
        <w:rPr>
          <w:rFonts w:ascii="Palatino Linotype" w:hAnsi="Palatino Linotype"/>
          <w:sz w:val="22"/>
        </w:rPr>
        <w:t>o representou 49% da amostra. Logo</w:t>
      </w:r>
      <w:r w:rsidRPr="00E4187D">
        <w:rPr>
          <w:rFonts w:ascii="Palatino Linotype" w:hAnsi="Palatino Linotype"/>
          <w:sz w:val="22"/>
        </w:rPr>
        <w:t xml:space="preserve">, com esse resultado para financiamento primário das companhias, foi possível observar a influência da </w:t>
      </w:r>
      <w:r w:rsidRPr="006F1BCE">
        <w:rPr>
          <w:rFonts w:ascii="Palatino Linotype" w:hAnsi="Palatino Linotype"/>
          <w:i/>
          <w:sz w:val="22"/>
        </w:rPr>
        <w:t>Pecking Order Theory</w:t>
      </w:r>
      <w:r w:rsidRPr="00E4187D">
        <w:rPr>
          <w:rFonts w:ascii="Palatino Linotype" w:hAnsi="Palatino Linotype"/>
          <w:sz w:val="22"/>
        </w:rPr>
        <w:t xml:space="preserve"> com sua hierarquização de fontes de financiamento propostas por Myers (1984) e Myers e Majluf (1984).</w:t>
      </w:r>
    </w:p>
    <w:p w14:paraId="3424A2BC" w14:textId="77777777" w:rsidR="00005715" w:rsidRPr="00E4187D" w:rsidRDefault="00005715" w:rsidP="00E4187D">
      <w:pPr>
        <w:rPr>
          <w:rFonts w:ascii="Palatino Linotype" w:hAnsi="Palatino Linotype"/>
          <w:sz w:val="22"/>
        </w:rPr>
      </w:pPr>
      <w:r w:rsidRPr="00E4187D">
        <w:rPr>
          <w:rFonts w:ascii="Palatino Linotype" w:hAnsi="Palatino Linotype"/>
          <w:sz w:val="22"/>
        </w:rPr>
        <w:t>Quando se analisou o financiamento externo</w:t>
      </w:r>
      <w:r w:rsidR="00FE0C24">
        <w:rPr>
          <w:rFonts w:ascii="Palatino Linotype" w:hAnsi="Palatino Linotype"/>
          <w:sz w:val="22"/>
        </w:rPr>
        <w:t xml:space="preserve"> como fonte secundária</w:t>
      </w:r>
      <w:r w:rsidRPr="00E4187D">
        <w:rPr>
          <w:rFonts w:ascii="Palatino Linotype" w:hAnsi="Palatino Linotype"/>
          <w:sz w:val="22"/>
        </w:rPr>
        <w:t>, o endividamento seria a primeira opção, que correspondeu a 51%</w:t>
      </w:r>
      <w:r w:rsidR="006F1BCE">
        <w:rPr>
          <w:rFonts w:ascii="Palatino Linotype" w:hAnsi="Palatino Linotype"/>
          <w:sz w:val="22"/>
        </w:rPr>
        <w:t>,</w:t>
      </w:r>
      <w:r w:rsidRPr="00E4187D">
        <w:rPr>
          <w:rFonts w:ascii="Palatino Linotype" w:hAnsi="Palatino Linotype"/>
          <w:sz w:val="22"/>
        </w:rPr>
        <w:t xml:space="preserve"> conforme apresentado na figura 2, seguido pela emissão de ações que correspondeu a 36%. Nesse sentido conclui-se que, daqueles 49% que adotaram como forma de financiamento a emissão de dívidas, ao optar por outras formas de financiamentos, </w:t>
      </w:r>
      <w:r w:rsidR="00AF6AEE">
        <w:rPr>
          <w:rFonts w:ascii="Palatino Linotype" w:hAnsi="Palatino Linotype"/>
          <w:sz w:val="22"/>
        </w:rPr>
        <w:t xml:space="preserve">se </w:t>
      </w:r>
      <w:r w:rsidRPr="00E4187D">
        <w:rPr>
          <w:rFonts w:ascii="Palatino Linotype" w:hAnsi="Palatino Linotype"/>
          <w:sz w:val="22"/>
        </w:rPr>
        <w:t xml:space="preserve">têm preferência pela emissão de ações e posteriormente pelo autofinanciamento. </w:t>
      </w:r>
    </w:p>
    <w:p w14:paraId="3424A2BD"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Com os resultados obtidos, a etapa seguinte consistiu em realizar uma comparação com estudos anteriores que abordaram a mesma temática e os mesmos procedimentos metodológicos, porém em períodos e amostras diferentes.  </w:t>
      </w:r>
    </w:p>
    <w:p w14:paraId="3424A2BE"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os resultados do presente estudo foram consistentes com os estudos de Singh (1995), Zonenschain (1998) no período de curto prazo (1995 – 1996), e Moreira e Puga (2000), quando os resultados apontam o autofinanciamento como fonte principal. Entretanto, o estudo foi inconsistente com Singh (1995), pois a segunda fonte de financiamento foi por emissão de ações e o presente estudo teve como segunda opção de financiamento a emissão de dívidas. </w:t>
      </w:r>
    </w:p>
    <w:p w14:paraId="3424A2BF"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Este estudo também foi divergente com os resultados de Zonenschain (1998) em relação ao período de longo prazo 1989/1996. Zonenschain (1998) indicou a emissão de ações como fonte principal de financiamento, seguido por emissão de dívidas e finalizando por autofinanciamento, divergente </w:t>
      </w:r>
      <w:r w:rsidR="00AF6AEE">
        <w:rPr>
          <w:rFonts w:ascii="Palatino Linotype" w:hAnsi="Palatino Linotype"/>
          <w:sz w:val="22"/>
        </w:rPr>
        <w:t>da atual pesquisa</w:t>
      </w:r>
      <w:r w:rsidRPr="00E4187D">
        <w:rPr>
          <w:rFonts w:ascii="Palatino Linotype" w:hAnsi="Palatino Linotype"/>
          <w:sz w:val="22"/>
        </w:rPr>
        <w:t xml:space="preserve">, que apresentou resultados inversos. </w:t>
      </w:r>
    </w:p>
    <w:p w14:paraId="3424A2C0"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Nesse sentido, conclui-se que tanto a </w:t>
      </w:r>
      <w:r w:rsidRPr="00AF6AEE">
        <w:rPr>
          <w:rFonts w:ascii="Palatino Linotype" w:hAnsi="Palatino Linotype"/>
          <w:i/>
          <w:sz w:val="22"/>
        </w:rPr>
        <w:t>Pecking Order theory</w:t>
      </w:r>
      <w:r w:rsidRPr="00E4187D">
        <w:rPr>
          <w:rFonts w:ascii="Palatino Linotype" w:hAnsi="Palatino Linotype"/>
          <w:sz w:val="22"/>
        </w:rPr>
        <w:t xml:space="preserve"> quanto a </w:t>
      </w:r>
      <w:r w:rsidRPr="00AF6AEE">
        <w:rPr>
          <w:rFonts w:ascii="Palatino Linotype" w:hAnsi="Palatino Linotype"/>
          <w:i/>
          <w:sz w:val="22"/>
        </w:rPr>
        <w:t>Trade Off theory</w:t>
      </w:r>
      <w:r w:rsidRPr="00E4187D">
        <w:rPr>
          <w:rFonts w:ascii="Palatino Linotype" w:hAnsi="Palatino Linotype"/>
          <w:sz w:val="22"/>
        </w:rPr>
        <w:t xml:space="preserve">, podem ser utilizadas para </w:t>
      </w:r>
      <w:r w:rsidR="00AF6AEE">
        <w:rPr>
          <w:rFonts w:ascii="Palatino Linotype" w:hAnsi="Palatino Linotype"/>
          <w:sz w:val="22"/>
        </w:rPr>
        <w:t xml:space="preserve">se </w:t>
      </w:r>
      <w:r w:rsidRPr="00E4187D">
        <w:rPr>
          <w:rFonts w:ascii="Palatino Linotype" w:hAnsi="Palatino Linotype"/>
          <w:sz w:val="22"/>
        </w:rPr>
        <w:t xml:space="preserve">entender as formas de financiamentos escolhidas pelas companhias, o que corrobora com os achados de Kaveski et al (2015) que mostrou a possibilidade de mais de uma teoria poder apoiar o entendimento da forma de financiamento adotada pelas companhias. Entretanto, o resultado principal corrobora com os estudos de diversos autores (Medeiros &amp; Daher, 2005; Bastos &amp; Nakamura, 2009; Correa, </w:t>
      </w:r>
      <w:r w:rsidRPr="00E4187D">
        <w:rPr>
          <w:rFonts w:ascii="Palatino Linotype" w:hAnsi="Palatino Linotype"/>
          <w:sz w:val="22"/>
        </w:rPr>
        <w:lastRenderedPageBreak/>
        <w:t xml:space="preserve">Basso &amp; Nakamura, 2013) quando </w:t>
      </w:r>
      <w:r w:rsidR="00AF6AEE" w:rsidRPr="00E4187D">
        <w:rPr>
          <w:rFonts w:ascii="Palatino Linotype" w:hAnsi="Palatino Linotype"/>
          <w:sz w:val="22"/>
        </w:rPr>
        <w:t>sugere</w:t>
      </w:r>
      <w:r w:rsidR="00AF6AEE">
        <w:rPr>
          <w:rFonts w:ascii="Palatino Linotype" w:hAnsi="Palatino Linotype"/>
          <w:sz w:val="22"/>
        </w:rPr>
        <w:t>m</w:t>
      </w:r>
      <w:r w:rsidRPr="00E4187D">
        <w:rPr>
          <w:rFonts w:ascii="Palatino Linotype" w:hAnsi="Palatino Linotype"/>
          <w:sz w:val="22"/>
        </w:rPr>
        <w:t xml:space="preserve"> que a teoria </w:t>
      </w:r>
      <w:r w:rsidRPr="00AF6AEE">
        <w:rPr>
          <w:rFonts w:ascii="Palatino Linotype" w:hAnsi="Palatino Linotype"/>
          <w:i/>
          <w:sz w:val="22"/>
        </w:rPr>
        <w:t>Pecking Order Theory</w:t>
      </w:r>
      <w:r w:rsidRPr="00E4187D">
        <w:rPr>
          <w:rFonts w:ascii="Palatino Linotype" w:hAnsi="Palatino Linotype"/>
          <w:sz w:val="22"/>
        </w:rPr>
        <w:t xml:space="preserve"> é a que melhor explica a forma de financiamento utilizada pelas companhias brasileiras de capital aberto.</w:t>
      </w:r>
    </w:p>
    <w:p w14:paraId="3424A2C1" w14:textId="77777777" w:rsidR="00005715" w:rsidRPr="00E4187D" w:rsidRDefault="00005715" w:rsidP="00E4187D">
      <w:pPr>
        <w:rPr>
          <w:rFonts w:ascii="Palatino Linotype" w:hAnsi="Palatino Linotype"/>
          <w:sz w:val="22"/>
        </w:rPr>
      </w:pPr>
      <w:r w:rsidRPr="00E4187D">
        <w:rPr>
          <w:rFonts w:ascii="Palatino Linotype" w:hAnsi="Palatino Linotype"/>
          <w:sz w:val="22"/>
        </w:rPr>
        <w:t>Quanto às dificuldades encontradas para a realização deste estudo, chama-se atenção para os dados incompletos</w:t>
      </w:r>
      <w:r w:rsidR="00AF6AEE">
        <w:rPr>
          <w:rFonts w:ascii="Palatino Linotype" w:hAnsi="Palatino Linotype"/>
          <w:sz w:val="22"/>
        </w:rPr>
        <w:t xml:space="preserve"> das companhias</w:t>
      </w:r>
      <w:r w:rsidRPr="00E4187D">
        <w:rPr>
          <w:rFonts w:ascii="Palatino Linotype" w:hAnsi="Palatino Linotype"/>
          <w:sz w:val="22"/>
        </w:rPr>
        <w:t>, pr</w:t>
      </w:r>
      <w:r w:rsidR="00AF6AEE">
        <w:rPr>
          <w:rFonts w:ascii="Palatino Linotype" w:hAnsi="Palatino Linotype"/>
          <w:sz w:val="22"/>
        </w:rPr>
        <w:t>ovocando painéis desbalanceados,</w:t>
      </w:r>
      <w:r w:rsidRPr="00E4187D">
        <w:rPr>
          <w:rFonts w:ascii="Palatino Linotype" w:hAnsi="Palatino Linotype"/>
          <w:sz w:val="22"/>
        </w:rPr>
        <w:t xml:space="preserve"> </w:t>
      </w:r>
      <w:r w:rsidR="00AF6AEE">
        <w:rPr>
          <w:rFonts w:ascii="Palatino Linotype" w:hAnsi="Palatino Linotype"/>
          <w:sz w:val="22"/>
        </w:rPr>
        <w:t>q</w:t>
      </w:r>
      <w:r w:rsidRPr="00E4187D">
        <w:rPr>
          <w:rFonts w:ascii="Palatino Linotype" w:hAnsi="Palatino Linotype"/>
          <w:sz w:val="22"/>
        </w:rPr>
        <w:t xml:space="preserve">ue após o teste de consistência, a amostra foi consideravelmente afetada, pois, houve uma significativa redução na </w:t>
      </w:r>
      <w:r w:rsidR="00AF6AEE">
        <w:rPr>
          <w:rFonts w:ascii="Palatino Linotype" w:hAnsi="Palatino Linotype"/>
          <w:sz w:val="22"/>
        </w:rPr>
        <w:t xml:space="preserve">quantidade de companhias para serem </w:t>
      </w:r>
      <w:r w:rsidR="001C5848">
        <w:rPr>
          <w:rFonts w:ascii="Palatino Linotype" w:hAnsi="Palatino Linotype"/>
          <w:sz w:val="22"/>
        </w:rPr>
        <w:t>investigadas</w:t>
      </w:r>
      <w:r w:rsidR="00AF6AEE">
        <w:rPr>
          <w:rFonts w:ascii="Palatino Linotype" w:hAnsi="Palatino Linotype"/>
          <w:sz w:val="22"/>
        </w:rPr>
        <w:t>.</w:t>
      </w:r>
      <w:r w:rsidRPr="00E4187D">
        <w:rPr>
          <w:rFonts w:ascii="Palatino Linotype" w:hAnsi="Palatino Linotype"/>
          <w:sz w:val="22"/>
        </w:rPr>
        <w:t xml:space="preserve"> Tal redução pode apresentar uma deformidade na realidade das informações das companhias abertas no Brasil durante o período de análise.</w:t>
      </w:r>
    </w:p>
    <w:p w14:paraId="3424A2C2" w14:textId="77777777" w:rsidR="007D2B71" w:rsidRDefault="00005715" w:rsidP="00E4187D">
      <w:pPr>
        <w:rPr>
          <w:rFonts w:ascii="Palatino Linotype" w:hAnsi="Palatino Linotype"/>
          <w:sz w:val="22"/>
        </w:rPr>
      </w:pPr>
      <w:r w:rsidRPr="000D155E">
        <w:rPr>
          <w:rFonts w:ascii="Palatino Linotype" w:hAnsi="Palatino Linotype"/>
          <w:sz w:val="22"/>
        </w:rPr>
        <w:t>Como contribuição ao avanço na literatura este estudo atua no reforço à necessidade de realizações de novas pesquisas que auxiliem profissionais do mercado, pesquisadores e usuários interessados a entender a forma de financiamento das companhias.</w:t>
      </w:r>
    </w:p>
    <w:p w14:paraId="3424A2C3" w14:textId="77777777" w:rsidR="00FA1A61" w:rsidRPr="00B03A60" w:rsidRDefault="00005715" w:rsidP="007D2B71">
      <w:pPr>
        <w:rPr>
          <w:rFonts w:ascii="Palatino Linotype" w:hAnsi="Palatino Linotype"/>
          <w:sz w:val="22"/>
        </w:rPr>
      </w:pPr>
      <w:r w:rsidRPr="00B03A60">
        <w:rPr>
          <w:rFonts w:ascii="Palatino Linotype" w:hAnsi="Palatino Linotype"/>
          <w:sz w:val="22"/>
        </w:rPr>
        <w:t>Por fim, como sugestões para pesquisas futuras, no sentido de cont</w:t>
      </w:r>
      <w:r w:rsidR="001C5848">
        <w:rPr>
          <w:rFonts w:ascii="Palatino Linotype" w:hAnsi="Palatino Linotype"/>
          <w:sz w:val="22"/>
        </w:rPr>
        <w:t xml:space="preserve">inuar </w:t>
      </w:r>
      <w:r w:rsidR="007A4578">
        <w:rPr>
          <w:rFonts w:ascii="Palatino Linotype" w:hAnsi="Palatino Linotype"/>
          <w:sz w:val="22"/>
        </w:rPr>
        <w:t xml:space="preserve">a </w:t>
      </w:r>
      <w:r w:rsidR="001C5848">
        <w:rPr>
          <w:rFonts w:ascii="Palatino Linotype" w:hAnsi="Palatino Linotype"/>
          <w:sz w:val="22"/>
        </w:rPr>
        <w:t>investigação sobre a temática</w:t>
      </w:r>
      <w:r w:rsidR="001C5848" w:rsidRPr="00B03A60">
        <w:rPr>
          <w:rFonts w:ascii="Palatino Linotype" w:hAnsi="Palatino Linotype"/>
          <w:sz w:val="22"/>
        </w:rPr>
        <w:t>, sugere-se</w:t>
      </w:r>
      <w:r w:rsidRPr="00B03A60">
        <w:rPr>
          <w:rFonts w:ascii="Palatino Linotype" w:hAnsi="Palatino Linotype"/>
          <w:sz w:val="22"/>
        </w:rPr>
        <w:t xml:space="preserve"> a</w:t>
      </w:r>
      <w:r w:rsidR="00FA1A61" w:rsidRPr="00B03A60">
        <w:rPr>
          <w:rFonts w:ascii="Palatino Linotype" w:hAnsi="Palatino Linotype"/>
          <w:sz w:val="22"/>
        </w:rPr>
        <w:t xml:space="preserve">nálises complementares em relação aos períodos </w:t>
      </w:r>
      <w:r w:rsidR="001C5848">
        <w:rPr>
          <w:rFonts w:ascii="Palatino Linotype" w:hAnsi="Palatino Linotype"/>
          <w:sz w:val="22"/>
        </w:rPr>
        <w:t>pesquisados</w:t>
      </w:r>
      <w:r w:rsidR="00FA1A61" w:rsidRPr="00B03A60">
        <w:rPr>
          <w:rFonts w:ascii="Palatino Linotype" w:hAnsi="Palatino Linotype"/>
          <w:sz w:val="22"/>
        </w:rPr>
        <w:t xml:space="preserve">, ou seja, quais fatores poderiam influenciar os resultados. Dentre esses fatores pode-se analisar o período de crise da bolsa de valores em 2008, </w:t>
      </w:r>
      <w:r w:rsidR="00544148">
        <w:rPr>
          <w:rFonts w:ascii="Palatino Linotype" w:hAnsi="Palatino Linotype"/>
          <w:sz w:val="22"/>
        </w:rPr>
        <w:t xml:space="preserve">o boom das IPOs, </w:t>
      </w:r>
      <w:r w:rsidR="00FA1A61" w:rsidRPr="00B03A60">
        <w:rPr>
          <w:rFonts w:ascii="Palatino Linotype" w:hAnsi="Palatino Linotype"/>
          <w:sz w:val="22"/>
        </w:rPr>
        <w:t xml:space="preserve">a influência da adoção das IFRS e a mudança de contabilidade no Brasil, e outros fatores que poderiam indicar mudança de comportamentos </w:t>
      </w:r>
      <w:r w:rsidR="007A4578">
        <w:rPr>
          <w:rFonts w:ascii="Palatino Linotype" w:hAnsi="Palatino Linotype"/>
          <w:sz w:val="22"/>
        </w:rPr>
        <w:t>das companhias brasileiras de capital aberto.</w:t>
      </w:r>
      <w:r w:rsidR="00FA1A61" w:rsidRPr="00B03A60">
        <w:rPr>
          <w:rFonts w:ascii="Palatino Linotype" w:hAnsi="Palatino Linotype"/>
          <w:sz w:val="22"/>
        </w:rPr>
        <w:t xml:space="preserve"> </w:t>
      </w:r>
    </w:p>
    <w:p w14:paraId="3424A2C4" w14:textId="77777777" w:rsidR="00120BA3" w:rsidRPr="00B03A60" w:rsidRDefault="00120BA3" w:rsidP="00B03A60">
      <w:pPr>
        <w:rPr>
          <w:rFonts w:ascii="Palatino Linotype" w:hAnsi="Palatino Linotype"/>
          <w:sz w:val="22"/>
        </w:rPr>
      </w:pPr>
    </w:p>
    <w:p w14:paraId="3424A2C5" w14:textId="77777777" w:rsidR="00005715" w:rsidRPr="00A15D72" w:rsidRDefault="00A15D72" w:rsidP="00A15D72">
      <w:pPr>
        <w:ind w:firstLine="0"/>
        <w:rPr>
          <w:rFonts w:ascii="Palatino Linotype" w:hAnsi="Palatino Linotype"/>
          <w:i/>
          <w:sz w:val="22"/>
        </w:rPr>
      </w:pPr>
      <w:r>
        <w:rPr>
          <w:rFonts w:ascii="Palatino Linotype" w:hAnsi="Palatino Linotype"/>
          <w:b/>
          <w:sz w:val="22"/>
        </w:rPr>
        <w:t xml:space="preserve">6 </w:t>
      </w:r>
      <w:r w:rsidR="00005715" w:rsidRPr="00A15D72">
        <w:rPr>
          <w:rFonts w:ascii="Palatino Linotype" w:hAnsi="Palatino Linotype"/>
          <w:b/>
          <w:sz w:val="22"/>
        </w:rPr>
        <w:t>REFERÊNCIAS</w:t>
      </w:r>
    </w:p>
    <w:p w14:paraId="3424A2C6" w14:textId="77777777" w:rsidR="00005715" w:rsidRPr="00E4187D" w:rsidRDefault="00005715" w:rsidP="00E4187D">
      <w:pPr>
        <w:pStyle w:val="PargrafodaLista"/>
        <w:spacing w:line="276" w:lineRule="auto"/>
        <w:ind w:left="360" w:firstLine="709"/>
        <w:rPr>
          <w:rFonts w:ascii="Palatino Linotype" w:hAnsi="Palatino Linotype"/>
          <w:i/>
          <w:sz w:val="22"/>
          <w:szCs w:val="22"/>
        </w:rPr>
      </w:pPr>
    </w:p>
    <w:p w14:paraId="3424A2C7" w14:textId="77777777" w:rsidR="00005715" w:rsidRPr="00E4187D" w:rsidRDefault="00005715" w:rsidP="00A15D72">
      <w:pPr>
        <w:rPr>
          <w:rFonts w:ascii="Palatino Linotype" w:hAnsi="Palatino Linotype"/>
          <w:sz w:val="22"/>
        </w:rPr>
      </w:pPr>
      <w:r w:rsidRPr="00A15D72">
        <w:rPr>
          <w:rFonts w:ascii="Palatino Linotype" w:hAnsi="Palatino Linotype"/>
          <w:sz w:val="22"/>
        </w:rPr>
        <w:t xml:space="preserve">Albanez, T., &amp; Valle, M. R. (2009). </w:t>
      </w:r>
      <w:r w:rsidRPr="00E4187D">
        <w:rPr>
          <w:rFonts w:ascii="Palatino Linotype" w:hAnsi="Palatino Linotype"/>
          <w:sz w:val="22"/>
        </w:rPr>
        <w:t xml:space="preserve">Impactos da assimetria de informação na estrutura de capital de empresas brasileiras abertas. </w:t>
      </w:r>
      <w:r w:rsidRPr="00A15D72">
        <w:rPr>
          <w:rFonts w:ascii="Palatino Linotype" w:hAnsi="Palatino Linotype"/>
          <w:sz w:val="22"/>
        </w:rPr>
        <w:t>Revista Contabilidade &amp; Finanças – USP, 20</w:t>
      </w:r>
      <w:r w:rsidRPr="00E4187D">
        <w:rPr>
          <w:rFonts w:ascii="Palatino Linotype" w:hAnsi="Palatino Linotype"/>
          <w:sz w:val="22"/>
        </w:rPr>
        <w:t xml:space="preserve"> (51), 6 – 27.</w:t>
      </w:r>
    </w:p>
    <w:p w14:paraId="3424A2C8" w14:textId="77777777" w:rsidR="00005715" w:rsidRPr="00E4187D" w:rsidRDefault="00005715" w:rsidP="00A15D72">
      <w:pPr>
        <w:rPr>
          <w:rFonts w:ascii="Palatino Linotype" w:hAnsi="Palatino Linotype"/>
          <w:sz w:val="22"/>
        </w:rPr>
      </w:pPr>
      <w:r w:rsidRPr="00E4187D">
        <w:rPr>
          <w:rFonts w:ascii="Palatino Linotype" w:hAnsi="Palatino Linotype"/>
          <w:sz w:val="22"/>
        </w:rPr>
        <w:t>Albuque</w:t>
      </w:r>
      <w:r w:rsidR="00D86A95">
        <w:rPr>
          <w:rFonts w:ascii="Palatino Linotype" w:hAnsi="Palatino Linotype"/>
          <w:sz w:val="22"/>
        </w:rPr>
        <w:t>r</w:t>
      </w:r>
      <w:r w:rsidRPr="00E4187D">
        <w:rPr>
          <w:rFonts w:ascii="Palatino Linotype" w:hAnsi="Palatino Linotype"/>
          <w:sz w:val="22"/>
        </w:rPr>
        <w:t>que, E. M., &amp; Sicsú, J. (2000). Inovação institucional e estímulo ao investimento ptivado</w:t>
      </w:r>
      <w:r w:rsidRPr="00A15D72">
        <w:rPr>
          <w:rFonts w:ascii="Palatino Linotype" w:hAnsi="Palatino Linotype"/>
          <w:sz w:val="22"/>
        </w:rPr>
        <w:t xml:space="preserve">, São Paulo em Pespectiva, 14 </w:t>
      </w:r>
      <w:r w:rsidRPr="00E4187D">
        <w:rPr>
          <w:rFonts w:ascii="Palatino Linotype" w:hAnsi="Palatino Linotype"/>
          <w:sz w:val="22"/>
        </w:rPr>
        <w:t xml:space="preserve">(3), 108 – 114. </w:t>
      </w:r>
    </w:p>
    <w:p w14:paraId="3424A2C9" w14:textId="77777777" w:rsidR="00483F67" w:rsidRDefault="00483F67" w:rsidP="00A15D72">
      <w:pPr>
        <w:rPr>
          <w:rFonts w:ascii="Palatino Linotype" w:hAnsi="Palatino Linotype"/>
          <w:sz w:val="22"/>
        </w:rPr>
      </w:pPr>
    </w:p>
    <w:p w14:paraId="3424A2CA" w14:textId="77777777" w:rsidR="00005715" w:rsidRPr="00914749" w:rsidRDefault="00005715" w:rsidP="00A15D72">
      <w:pPr>
        <w:rPr>
          <w:rFonts w:ascii="Palatino Linotype" w:hAnsi="Palatino Linotype"/>
          <w:sz w:val="22"/>
          <w:lang w:val="en-US"/>
        </w:rPr>
      </w:pPr>
      <w:r w:rsidRPr="00483F67">
        <w:rPr>
          <w:rFonts w:ascii="Palatino Linotype" w:hAnsi="Palatino Linotype"/>
          <w:sz w:val="22"/>
          <w:lang w:val="en-US"/>
        </w:rPr>
        <w:t xml:space="preserve">Ball, R., Kothari, S. P., &amp; Robin, A. (2000). </w:t>
      </w:r>
      <w:r w:rsidRPr="00FB7F83">
        <w:rPr>
          <w:rFonts w:ascii="Palatino Linotype" w:hAnsi="Palatino Linotype"/>
          <w:sz w:val="22"/>
          <w:lang w:val="en-US"/>
        </w:rPr>
        <w:t xml:space="preserve">The effect of international institutional factors on properties of accounting earnings. </w:t>
      </w:r>
      <w:r w:rsidRPr="00914749">
        <w:rPr>
          <w:rFonts w:ascii="Palatino Linotype" w:hAnsi="Palatino Linotype"/>
          <w:sz w:val="22"/>
          <w:lang w:val="en-US"/>
        </w:rPr>
        <w:t>Journal of Accounting and Economics, 29, 1 – 51.</w:t>
      </w:r>
    </w:p>
    <w:p w14:paraId="3424A2CB" w14:textId="77777777" w:rsidR="00005715" w:rsidRPr="00914749" w:rsidRDefault="00005715" w:rsidP="00A15D72">
      <w:pPr>
        <w:rPr>
          <w:rFonts w:ascii="Palatino Linotype" w:hAnsi="Palatino Linotype"/>
          <w:sz w:val="22"/>
          <w:lang w:val="en-US"/>
        </w:rPr>
      </w:pPr>
      <w:r w:rsidRPr="0004367F">
        <w:rPr>
          <w:rFonts w:ascii="Palatino Linotype" w:hAnsi="Palatino Linotype"/>
          <w:sz w:val="22"/>
          <w:lang w:val="en-US"/>
        </w:rPr>
        <w:t xml:space="preserve">Bastos, D. D., &amp; Nakamura, W. T. (2009). </w:t>
      </w:r>
      <w:r w:rsidRPr="00E4187D">
        <w:rPr>
          <w:rFonts w:ascii="Palatino Linotype" w:hAnsi="Palatino Linotype"/>
          <w:sz w:val="22"/>
        </w:rPr>
        <w:t xml:space="preserve">Determinantes da estrutura de capital das         companhias abertas no Brasil, México e Chile no período 2001-2006. </w:t>
      </w:r>
      <w:r w:rsidRPr="00914749">
        <w:rPr>
          <w:rFonts w:ascii="Palatino Linotype" w:hAnsi="Palatino Linotype"/>
          <w:sz w:val="22"/>
          <w:lang w:val="en-US"/>
        </w:rPr>
        <w:t>Revista Contabilidade &amp; Finanças, 20 (50), 75-94.</w:t>
      </w:r>
    </w:p>
    <w:p w14:paraId="3424A2CC" w14:textId="77777777" w:rsidR="00483F67" w:rsidRPr="00914749" w:rsidRDefault="00483F67" w:rsidP="00A15D72">
      <w:pPr>
        <w:rPr>
          <w:rFonts w:ascii="Palatino Linotype" w:hAnsi="Palatino Linotype"/>
          <w:sz w:val="22"/>
          <w:lang w:val="en-US"/>
        </w:rPr>
      </w:pPr>
    </w:p>
    <w:p w14:paraId="3424A2CD" w14:textId="77777777" w:rsidR="00005715" w:rsidRPr="00914749" w:rsidRDefault="00005715" w:rsidP="00A15D72">
      <w:pPr>
        <w:rPr>
          <w:rFonts w:ascii="Palatino Linotype" w:hAnsi="Palatino Linotype"/>
          <w:sz w:val="22"/>
          <w:lang w:val="en-US"/>
        </w:rPr>
      </w:pPr>
      <w:r w:rsidRPr="00483F67">
        <w:rPr>
          <w:rFonts w:ascii="Palatino Linotype" w:hAnsi="Palatino Linotype"/>
          <w:sz w:val="22"/>
          <w:lang w:val="en-US"/>
        </w:rPr>
        <w:t xml:space="preserve">Brealey, R.; Myers, S., &amp; Allen, F. (2006). </w:t>
      </w:r>
      <w:r w:rsidRPr="00FB6EF7">
        <w:rPr>
          <w:rFonts w:ascii="Palatino Linotype" w:hAnsi="Palatino Linotype"/>
          <w:sz w:val="22"/>
          <w:lang w:val="en-US"/>
        </w:rPr>
        <w:t xml:space="preserve">Principles of corporate finance. 8. ed. </w:t>
      </w:r>
      <w:r w:rsidRPr="00914749">
        <w:rPr>
          <w:rFonts w:ascii="Palatino Linotype" w:hAnsi="Palatino Linotype"/>
          <w:sz w:val="22"/>
          <w:lang w:val="en-US"/>
        </w:rPr>
        <w:t>Irwin: Mc Graw Hill.</w:t>
      </w:r>
    </w:p>
    <w:p w14:paraId="3424A2CE" w14:textId="77777777" w:rsidR="00483F67" w:rsidRPr="00914749" w:rsidRDefault="00483F67" w:rsidP="00A15D72">
      <w:pPr>
        <w:rPr>
          <w:rFonts w:ascii="Palatino Linotype" w:hAnsi="Palatino Linotype"/>
          <w:sz w:val="22"/>
          <w:lang w:val="en-US"/>
        </w:rPr>
      </w:pPr>
    </w:p>
    <w:p w14:paraId="3424A2CF"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Brito, G. A. S., Corrar, L. J., &amp; Batistella, F. D. (2007). Fatores determinantes de estrutura de capital das maiores empresas que atuam no Brasil. </w:t>
      </w:r>
      <w:r w:rsidRPr="00A15D72">
        <w:rPr>
          <w:rFonts w:ascii="Palatino Linotype" w:hAnsi="Palatino Linotype"/>
          <w:sz w:val="22"/>
        </w:rPr>
        <w:t>Revista Contabilidade &amp; Finanças</w:t>
      </w:r>
      <w:r w:rsidRPr="00E4187D">
        <w:rPr>
          <w:rFonts w:ascii="Palatino Linotype" w:hAnsi="Palatino Linotype"/>
          <w:sz w:val="22"/>
        </w:rPr>
        <w:t xml:space="preserve">, </w:t>
      </w:r>
      <w:r w:rsidRPr="00A15D72">
        <w:rPr>
          <w:rFonts w:ascii="Palatino Linotype" w:hAnsi="Palatino Linotype"/>
          <w:sz w:val="22"/>
        </w:rPr>
        <w:t xml:space="preserve">18 </w:t>
      </w:r>
      <w:r w:rsidRPr="00E4187D">
        <w:rPr>
          <w:rFonts w:ascii="Palatino Linotype" w:hAnsi="Palatino Linotype"/>
          <w:sz w:val="22"/>
        </w:rPr>
        <w:t>(43), 9 – 19.</w:t>
      </w:r>
    </w:p>
    <w:p w14:paraId="3424A2D0" w14:textId="77777777" w:rsidR="00483F67" w:rsidRDefault="00483F67" w:rsidP="00A15D72">
      <w:pPr>
        <w:rPr>
          <w:rFonts w:ascii="Palatino Linotype" w:hAnsi="Palatino Linotype"/>
          <w:sz w:val="22"/>
        </w:rPr>
      </w:pPr>
    </w:p>
    <w:p w14:paraId="3424A2D1"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Brito, R. D., &amp; Lima, M. R. (2005). A escolha da estrutura de capital sob fraca garantia legal: o caso do Brasil. </w:t>
      </w:r>
      <w:r w:rsidRPr="00A15D72">
        <w:rPr>
          <w:rFonts w:ascii="Palatino Linotype" w:hAnsi="Palatino Linotype"/>
          <w:sz w:val="22"/>
        </w:rPr>
        <w:t xml:space="preserve">Revista Brasileira de Economia, 59 </w:t>
      </w:r>
      <w:r w:rsidRPr="00E4187D">
        <w:rPr>
          <w:rFonts w:ascii="Palatino Linotype" w:hAnsi="Palatino Linotype"/>
          <w:sz w:val="22"/>
        </w:rPr>
        <w:t>(2), 177 – 208.</w:t>
      </w:r>
    </w:p>
    <w:p w14:paraId="3424A2D2" w14:textId="77777777" w:rsidR="00483F67" w:rsidRDefault="00483F67" w:rsidP="00A15D72">
      <w:pPr>
        <w:rPr>
          <w:rFonts w:ascii="Palatino Linotype" w:hAnsi="Palatino Linotype"/>
          <w:sz w:val="22"/>
        </w:rPr>
      </w:pPr>
    </w:p>
    <w:p w14:paraId="3424A2D3"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Correa, C. A., Basso, L. F. C., &amp; Nakamura, W. T. (2013). A Estrutura de Capital das Maiores Empresas Brasileiras: Análise Empírica das Teorias de </w:t>
      </w:r>
      <w:r w:rsidRPr="00A15D72">
        <w:rPr>
          <w:rFonts w:ascii="Palatino Linotype" w:hAnsi="Palatino Linotype"/>
          <w:sz w:val="22"/>
        </w:rPr>
        <w:t xml:space="preserve">Pecking Order </w:t>
      </w:r>
      <w:r w:rsidRPr="00E4187D">
        <w:rPr>
          <w:rFonts w:ascii="Palatino Linotype" w:hAnsi="Palatino Linotype"/>
          <w:sz w:val="22"/>
        </w:rPr>
        <w:t xml:space="preserve">e Trade-Off, Usando Panel Data. </w:t>
      </w:r>
      <w:r w:rsidRPr="00A15D72">
        <w:rPr>
          <w:rFonts w:ascii="Palatino Linotype" w:hAnsi="Palatino Linotype"/>
          <w:sz w:val="22"/>
        </w:rPr>
        <w:t>Revista de Administração Mackenzie</w:t>
      </w:r>
      <w:r w:rsidRPr="00E4187D">
        <w:rPr>
          <w:rFonts w:ascii="Palatino Linotype" w:hAnsi="Palatino Linotype"/>
          <w:sz w:val="22"/>
        </w:rPr>
        <w:t xml:space="preserve">, </w:t>
      </w:r>
      <w:r w:rsidRPr="00A15D72">
        <w:rPr>
          <w:rFonts w:ascii="Palatino Linotype" w:hAnsi="Palatino Linotype"/>
          <w:sz w:val="22"/>
        </w:rPr>
        <w:t>14</w:t>
      </w:r>
      <w:r w:rsidRPr="00E4187D">
        <w:rPr>
          <w:rFonts w:ascii="Palatino Linotype" w:hAnsi="Palatino Linotype"/>
          <w:sz w:val="22"/>
        </w:rPr>
        <w:t xml:space="preserve"> (4), 106-133.</w:t>
      </w:r>
    </w:p>
    <w:p w14:paraId="3424A2D4" w14:textId="77777777" w:rsidR="00483F67" w:rsidRDefault="00483F67" w:rsidP="00E4187D">
      <w:pPr>
        <w:rPr>
          <w:rFonts w:ascii="Palatino Linotype" w:hAnsi="Palatino Linotype"/>
          <w:sz w:val="22"/>
        </w:rPr>
      </w:pPr>
    </w:p>
    <w:p w14:paraId="3424A2D5" w14:textId="77777777" w:rsidR="00005715" w:rsidRPr="00FB6EF7" w:rsidRDefault="00005715" w:rsidP="00E4187D">
      <w:pPr>
        <w:rPr>
          <w:rFonts w:ascii="Palatino Linotype" w:hAnsi="Palatino Linotype"/>
          <w:sz w:val="22"/>
          <w:lang w:val="en-US"/>
        </w:rPr>
      </w:pPr>
      <w:r w:rsidRPr="00E4187D">
        <w:rPr>
          <w:rFonts w:ascii="Palatino Linotype" w:hAnsi="Palatino Linotype"/>
          <w:sz w:val="22"/>
        </w:rPr>
        <w:t xml:space="preserve">Costa, F. M., Lopes, A. B., &amp; Costa, A. C. O. (2006). Conservadorismo em cinco países da América do Sul. </w:t>
      </w:r>
      <w:r w:rsidRPr="00FB6EF7">
        <w:rPr>
          <w:rFonts w:ascii="Palatino Linotype" w:hAnsi="Palatino Linotype"/>
          <w:sz w:val="22"/>
          <w:lang w:val="en-US"/>
        </w:rPr>
        <w:t xml:space="preserve">Revista Contabilidade &amp; Finanças – USP, 17 (41), 7 – 20. </w:t>
      </w:r>
    </w:p>
    <w:p w14:paraId="3424A2D6" w14:textId="77777777" w:rsidR="00483F67" w:rsidRPr="00FB6EF7" w:rsidRDefault="00483F67" w:rsidP="00A15D72">
      <w:pPr>
        <w:rPr>
          <w:rFonts w:ascii="Palatino Linotype" w:hAnsi="Palatino Linotype"/>
          <w:sz w:val="22"/>
          <w:lang w:val="en-US"/>
        </w:rPr>
      </w:pPr>
    </w:p>
    <w:p w14:paraId="3424A2D7"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lang w:val="en-US"/>
        </w:rPr>
        <w:t xml:space="preserve">Durand, D. (1952). Cost of debt and equity funds for business: trends and problems of measurement. </w:t>
      </w:r>
      <w:r w:rsidRPr="00FB6EF7">
        <w:rPr>
          <w:rFonts w:ascii="Palatino Linotype" w:hAnsi="Palatino Linotype"/>
          <w:sz w:val="22"/>
          <w:lang w:val="en-US"/>
        </w:rPr>
        <w:t xml:space="preserve">Conference on research in Bussiness Finance, New York. </w:t>
      </w:r>
    </w:p>
    <w:p w14:paraId="3424A2D8" w14:textId="77777777" w:rsidR="00483F67" w:rsidRPr="00FB6EF7" w:rsidRDefault="00483F67" w:rsidP="00A15D72">
      <w:pPr>
        <w:rPr>
          <w:rFonts w:ascii="Palatino Linotype" w:hAnsi="Palatino Linotype"/>
          <w:sz w:val="22"/>
          <w:lang w:val="en-US"/>
        </w:rPr>
      </w:pPr>
    </w:p>
    <w:p w14:paraId="3424A2D9" w14:textId="77777777" w:rsidR="00005715" w:rsidRPr="00A15D72" w:rsidRDefault="00005715" w:rsidP="00A15D72">
      <w:pPr>
        <w:rPr>
          <w:rFonts w:ascii="Palatino Linotype" w:hAnsi="Palatino Linotype"/>
          <w:sz w:val="22"/>
        </w:rPr>
      </w:pPr>
      <w:r w:rsidRPr="00FB6EF7">
        <w:rPr>
          <w:rFonts w:ascii="Palatino Linotype" w:hAnsi="Palatino Linotype"/>
          <w:sz w:val="22"/>
          <w:lang w:val="en-US"/>
        </w:rPr>
        <w:t xml:space="preserve">Farias, K. T. R., Farias, M. R. S. (2012). . In A. B. Lopes (org.). </w:t>
      </w:r>
      <w:r w:rsidRPr="00A15D72">
        <w:rPr>
          <w:rFonts w:ascii="Palatino Linotype" w:hAnsi="Palatino Linotype"/>
          <w:sz w:val="22"/>
        </w:rPr>
        <w:t>Contabilidade internacional: contabilidade e finanças no Brasil: estudos em homenagem a Eliseu Martins</w:t>
      </w:r>
      <w:r w:rsidRPr="00E4187D">
        <w:rPr>
          <w:rFonts w:ascii="Palatino Linotype" w:hAnsi="Palatino Linotype"/>
          <w:sz w:val="22"/>
        </w:rPr>
        <w:t xml:space="preserve"> (Cap.6. pp. 138-169). São Paulo: Atlas S/A.</w:t>
      </w:r>
    </w:p>
    <w:p w14:paraId="3424A2DA" w14:textId="77777777" w:rsidR="00483F67" w:rsidRDefault="00483F67" w:rsidP="00A15D72">
      <w:pPr>
        <w:rPr>
          <w:rFonts w:ascii="Palatino Linotype" w:hAnsi="Palatino Linotype"/>
          <w:sz w:val="22"/>
        </w:rPr>
      </w:pPr>
    </w:p>
    <w:p w14:paraId="3424A2DB"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França, J. A., Santos, S. I. F., Sandoval, W. S., &amp; Santos, A. P. (2016). Estrutura de financiamento das firmas de energia elétrica no Brasil: uma abordagem à Pecking Order Theory (POT). </w:t>
      </w:r>
      <w:r w:rsidRPr="00A15D72">
        <w:rPr>
          <w:rFonts w:ascii="Palatino Linotype" w:hAnsi="Palatino Linotype"/>
          <w:sz w:val="22"/>
        </w:rPr>
        <w:t xml:space="preserve">Revista de Contabilidade e Organizações, 10 </w:t>
      </w:r>
      <w:r w:rsidRPr="00E4187D">
        <w:rPr>
          <w:rFonts w:ascii="Palatino Linotype" w:hAnsi="Palatino Linotype"/>
          <w:sz w:val="22"/>
        </w:rPr>
        <w:t>(27), 58 – 70.</w:t>
      </w:r>
    </w:p>
    <w:p w14:paraId="3424A2DC" w14:textId="77777777" w:rsidR="00483F67" w:rsidRDefault="00483F67" w:rsidP="00A15D72">
      <w:pPr>
        <w:rPr>
          <w:rFonts w:ascii="Palatino Linotype" w:hAnsi="Palatino Linotype"/>
          <w:sz w:val="22"/>
        </w:rPr>
      </w:pPr>
    </w:p>
    <w:p w14:paraId="3424A2DD" w14:textId="77777777" w:rsidR="00005715" w:rsidRPr="0024452C" w:rsidRDefault="00005715" w:rsidP="00A15D72">
      <w:pPr>
        <w:rPr>
          <w:rFonts w:ascii="Palatino Linotype" w:hAnsi="Palatino Linotype"/>
          <w:sz w:val="22"/>
          <w:lang w:val="en-US"/>
        </w:rPr>
      </w:pPr>
      <w:r w:rsidRPr="00E4187D">
        <w:rPr>
          <w:rFonts w:ascii="Palatino Linotype" w:hAnsi="Palatino Linotype"/>
          <w:sz w:val="22"/>
        </w:rPr>
        <w:t xml:space="preserve">Fonseca, C. V. C., Silveira, R. L. F., &amp; Hiratuka, C. (2016). A relação entre a governança corporativa e a estrutura de capital das empresas brasileiras no período 2000 – 2013. </w:t>
      </w:r>
      <w:r w:rsidRPr="0024452C">
        <w:rPr>
          <w:rFonts w:ascii="Palatino Linotype" w:hAnsi="Palatino Linotype"/>
          <w:sz w:val="22"/>
          <w:lang w:val="en-US"/>
        </w:rPr>
        <w:t>Enfoque: reflexão contábil, 35 (2), 35 – 52.</w:t>
      </w:r>
    </w:p>
    <w:p w14:paraId="3424A2DE" w14:textId="77777777" w:rsidR="00483F67" w:rsidRPr="0024452C" w:rsidRDefault="00483F67" w:rsidP="00A15D72">
      <w:pPr>
        <w:rPr>
          <w:rFonts w:ascii="Palatino Linotype" w:hAnsi="Palatino Linotype"/>
          <w:sz w:val="22"/>
          <w:lang w:val="en-US"/>
        </w:rPr>
      </w:pPr>
    </w:p>
    <w:p w14:paraId="3424A2DF" w14:textId="77777777" w:rsidR="00005715" w:rsidRPr="00FB7F83" w:rsidRDefault="00D86A95" w:rsidP="00A15D72">
      <w:pPr>
        <w:rPr>
          <w:rFonts w:ascii="Palatino Linotype" w:hAnsi="Palatino Linotype"/>
          <w:sz w:val="22"/>
          <w:lang w:val="en-US"/>
        </w:rPr>
      </w:pPr>
      <w:r w:rsidRPr="00FB7F83">
        <w:rPr>
          <w:rFonts w:ascii="Palatino Linotype" w:hAnsi="Palatino Linotype"/>
          <w:sz w:val="22"/>
          <w:lang w:val="en-US"/>
        </w:rPr>
        <w:t>Harris</w:t>
      </w:r>
      <w:r w:rsidR="00005715" w:rsidRPr="00FB7F83">
        <w:rPr>
          <w:rFonts w:ascii="Palatino Linotype" w:hAnsi="Palatino Linotype"/>
          <w:sz w:val="22"/>
          <w:lang w:val="en-US"/>
        </w:rPr>
        <w:t>, M., &amp; Raviv, A. (1991). The theory of capital structure. The journal of Finance, 46 (1), 293 – 355.</w:t>
      </w:r>
    </w:p>
    <w:p w14:paraId="3424A2E0" w14:textId="77777777" w:rsidR="00483F67" w:rsidRPr="00FB7F83" w:rsidRDefault="00483F67" w:rsidP="00A15D72">
      <w:pPr>
        <w:rPr>
          <w:rFonts w:ascii="Palatino Linotype" w:hAnsi="Palatino Linotype"/>
          <w:sz w:val="22"/>
          <w:lang w:val="en-US"/>
        </w:rPr>
      </w:pPr>
    </w:p>
    <w:p w14:paraId="3424A2E1" w14:textId="77777777" w:rsidR="00005715" w:rsidRPr="00E4187D" w:rsidRDefault="00005715" w:rsidP="00A15D72">
      <w:pPr>
        <w:rPr>
          <w:rFonts w:ascii="Palatino Linotype" w:hAnsi="Palatino Linotype"/>
          <w:sz w:val="22"/>
        </w:rPr>
      </w:pPr>
      <w:r w:rsidRPr="00FB7F83">
        <w:rPr>
          <w:rFonts w:ascii="Palatino Linotype" w:hAnsi="Palatino Linotype"/>
          <w:sz w:val="22"/>
          <w:lang w:val="en-US"/>
        </w:rPr>
        <w:t xml:space="preserve">Iquiapaza, R. A., Amaral, H. F., &amp; Araújo, M.S.B. (2008). </w:t>
      </w:r>
      <w:r w:rsidRPr="00A15D72">
        <w:rPr>
          <w:rFonts w:ascii="Palatino Linotype" w:hAnsi="Palatino Linotype"/>
          <w:sz w:val="22"/>
        </w:rPr>
        <w:t>Revista de Administração Mackenzie</w:t>
      </w:r>
      <w:r w:rsidRPr="00E4187D">
        <w:rPr>
          <w:rFonts w:ascii="Palatino Linotype" w:hAnsi="Palatino Linotype"/>
          <w:sz w:val="22"/>
        </w:rPr>
        <w:t xml:space="preserve">, </w:t>
      </w:r>
      <w:r w:rsidRPr="00A15D72">
        <w:rPr>
          <w:rFonts w:ascii="Palatino Linotype" w:hAnsi="Palatino Linotype"/>
          <w:sz w:val="22"/>
        </w:rPr>
        <w:t>9</w:t>
      </w:r>
      <w:r w:rsidRPr="00E4187D">
        <w:rPr>
          <w:rFonts w:ascii="Palatino Linotype" w:hAnsi="Palatino Linotype"/>
          <w:sz w:val="22"/>
        </w:rPr>
        <w:t xml:space="preserve"> (3), 157-183.</w:t>
      </w:r>
    </w:p>
    <w:p w14:paraId="3424A2E2" w14:textId="77777777" w:rsidR="00483F67" w:rsidRDefault="00483F67" w:rsidP="00A15D72">
      <w:pPr>
        <w:rPr>
          <w:rFonts w:ascii="Palatino Linotype" w:hAnsi="Palatino Linotype"/>
          <w:sz w:val="22"/>
        </w:rPr>
      </w:pPr>
    </w:p>
    <w:p w14:paraId="3424A2E3" w14:textId="77777777" w:rsidR="00005715" w:rsidRPr="00914749" w:rsidRDefault="00005715" w:rsidP="00A15D72">
      <w:pPr>
        <w:rPr>
          <w:rFonts w:ascii="Palatino Linotype" w:hAnsi="Palatino Linotype"/>
          <w:sz w:val="22"/>
          <w:lang w:val="en-US"/>
        </w:rPr>
      </w:pPr>
      <w:r w:rsidRPr="00FB7F83">
        <w:rPr>
          <w:rFonts w:ascii="Palatino Linotype" w:hAnsi="Palatino Linotype"/>
          <w:sz w:val="22"/>
        </w:rPr>
        <w:t xml:space="preserve">Jensen, M. C., &amp; Meckling, W. H. (1976). </w:t>
      </w:r>
      <w:r w:rsidRPr="00FB6EF7">
        <w:rPr>
          <w:rFonts w:ascii="Palatino Linotype" w:hAnsi="Palatino Linotype"/>
          <w:sz w:val="22"/>
          <w:lang w:val="en-US"/>
        </w:rPr>
        <w:t xml:space="preserve">Theory of the firm: managerial behavior, agency costs and ownership structure. </w:t>
      </w:r>
      <w:r w:rsidRPr="00914749">
        <w:rPr>
          <w:rFonts w:ascii="Palatino Linotype" w:hAnsi="Palatino Linotype"/>
          <w:sz w:val="22"/>
          <w:lang w:val="en-US"/>
        </w:rPr>
        <w:t>Journal of Financial Economics, 3 (4), 305-360.</w:t>
      </w:r>
    </w:p>
    <w:p w14:paraId="3424A2E4" w14:textId="77777777" w:rsidR="00483F67" w:rsidRPr="00914749" w:rsidRDefault="00483F67" w:rsidP="00A15D72">
      <w:pPr>
        <w:rPr>
          <w:rFonts w:ascii="Palatino Linotype" w:hAnsi="Palatino Linotype"/>
          <w:sz w:val="22"/>
          <w:lang w:val="en-US"/>
        </w:rPr>
      </w:pPr>
    </w:p>
    <w:p w14:paraId="3424A2E5" w14:textId="77777777" w:rsidR="00005715" w:rsidRPr="00E4187D" w:rsidRDefault="00005715" w:rsidP="00A15D72">
      <w:pPr>
        <w:rPr>
          <w:rFonts w:ascii="Palatino Linotype" w:hAnsi="Palatino Linotype"/>
          <w:sz w:val="22"/>
        </w:rPr>
      </w:pPr>
      <w:r w:rsidRPr="00483F67">
        <w:rPr>
          <w:rFonts w:ascii="Palatino Linotype" w:hAnsi="Palatino Linotype"/>
          <w:sz w:val="22"/>
          <w:lang w:val="en-US"/>
        </w:rPr>
        <w:t xml:space="preserve">Kaveski, I. D. S., Hall, R. J., Degenhart, L., Vogt, M., &amp; Hein, N. (2015). </w:t>
      </w:r>
      <w:r w:rsidRPr="00E4187D">
        <w:rPr>
          <w:rFonts w:ascii="Palatino Linotype" w:hAnsi="Palatino Linotype"/>
          <w:sz w:val="22"/>
        </w:rPr>
        <w:t xml:space="preserve">Determinantes da estrutura de capital das empresas brasileiras de capital aberto do agronegócio: um estudo a luz das teorias Trade Off e Pecking order. </w:t>
      </w:r>
      <w:r w:rsidRPr="00A15D72">
        <w:rPr>
          <w:rFonts w:ascii="Palatino Linotype" w:hAnsi="Palatino Linotype"/>
          <w:sz w:val="22"/>
        </w:rPr>
        <w:t xml:space="preserve">E&amp;G Economia e Gestão, 15 </w:t>
      </w:r>
      <w:r w:rsidRPr="00E4187D">
        <w:rPr>
          <w:rFonts w:ascii="Palatino Linotype" w:hAnsi="Palatino Linotype"/>
          <w:sz w:val="22"/>
        </w:rPr>
        <w:t xml:space="preserve">(41), 135 – 148. </w:t>
      </w:r>
    </w:p>
    <w:p w14:paraId="3424A2E6" w14:textId="77777777" w:rsidR="00483F67" w:rsidRDefault="00483F67" w:rsidP="00A15D72">
      <w:pPr>
        <w:rPr>
          <w:rFonts w:ascii="Palatino Linotype" w:hAnsi="Palatino Linotype"/>
          <w:sz w:val="22"/>
        </w:rPr>
      </w:pPr>
    </w:p>
    <w:p w14:paraId="3424A2E7"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rPr>
        <w:t xml:space="preserve">Lopes, A.B., &amp; Walker, M. (2008). </w:t>
      </w:r>
      <w:r w:rsidRPr="00FB7F83">
        <w:rPr>
          <w:rFonts w:ascii="Palatino Linotype" w:hAnsi="Palatino Linotype"/>
          <w:sz w:val="22"/>
          <w:lang w:val="en-US"/>
        </w:rPr>
        <w:t xml:space="preserve">Firm-level incentives and the informativeness of accounting reports: an experiment in Brazil. </w:t>
      </w:r>
      <w:r w:rsidRPr="00FB6EF7">
        <w:rPr>
          <w:rFonts w:ascii="Palatino Linotype" w:hAnsi="Palatino Linotype"/>
          <w:sz w:val="22"/>
          <w:lang w:val="en-US"/>
        </w:rPr>
        <w:t>Available at SSRN: https://ssrn.com/abstract=1095781 or http://dx.doi.org/10.2139/ssrn.1095781.</w:t>
      </w:r>
    </w:p>
    <w:p w14:paraId="3424A2E8" w14:textId="77777777" w:rsidR="00483F67" w:rsidRPr="00FB6EF7" w:rsidRDefault="00483F67" w:rsidP="00A15D72">
      <w:pPr>
        <w:rPr>
          <w:rFonts w:ascii="Palatino Linotype" w:hAnsi="Palatino Linotype"/>
          <w:sz w:val="22"/>
          <w:lang w:val="en-US"/>
        </w:rPr>
      </w:pPr>
    </w:p>
    <w:p w14:paraId="3424A2E9" w14:textId="77777777" w:rsidR="00005715" w:rsidRPr="00914749" w:rsidRDefault="00005715" w:rsidP="00A15D72">
      <w:pPr>
        <w:rPr>
          <w:rFonts w:ascii="Palatino Linotype" w:hAnsi="Palatino Linotype"/>
          <w:sz w:val="22"/>
          <w:lang w:val="en-US"/>
        </w:rPr>
      </w:pPr>
      <w:r w:rsidRPr="00E4187D">
        <w:rPr>
          <w:rFonts w:ascii="Palatino Linotype" w:hAnsi="Palatino Linotype"/>
          <w:sz w:val="22"/>
        </w:rPr>
        <w:t xml:space="preserve">Medeiros, O.R., &amp; Daher, C. E. (2005). Testanto a teoria de hierarquização de fontes de financiamento nas empresas brasileiras. </w:t>
      </w:r>
      <w:r w:rsidRPr="00914749">
        <w:rPr>
          <w:rFonts w:ascii="Palatino Linotype" w:hAnsi="Palatino Linotype"/>
          <w:sz w:val="22"/>
          <w:lang w:val="en-US"/>
        </w:rPr>
        <w:t>Revista Contabilidade &amp; Finanças – USP, 16 (37), 37-45.</w:t>
      </w:r>
    </w:p>
    <w:p w14:paraId="3424A2EA"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lang w:val="en-US"/>
        </w:rPr>
        <w:t xml:space="preserve">Modigliani, F., &amp; Miller, M. H. (1958). The cost of capital, corporation finance and the theory of investment. </w:t>
      </w:r>
      <w:r w:rsidRPr="00FB6EF7">
        <w:rPr>
          <w:rFonts w:ascii="Palatino Linotype" w:hAnsi="Palatino Linotype"/>
          <w:sz w:val="22"/>
          <w:lang w:val="en-US"/>
        </w:rPr>
        <w:t>The American economic review, 48 (3), 261-297.</w:t>
      </w:r>
    </w:p>
    <w:p w14:paraId="3424A2EB" w14:textId="77777777" w:rsidR="00483F67" w:rsidRPr="00FB6EF7" w:rsidRDefault="00483F67" w:rsidP="00A15D72">
      <w:pPr>
        <w:rPr>
          <w:rFonts w:ascii="Palatino Linotype" w:hAnsi="Palatino Linotype"/>
          <w:sz w:val="22"/>
          <w:lang w:val="en-US"/>
        </w:rPr>
      </w:pPr>
    </w:p>
    <w:p w14:paraId="3424A2EC" w14:textId="77777777" w:rsidR="00005715" w:rsidRDefault="00005715" w:rsidP="00A15D72">
      <w:pPr>
        <w:rPr>
          <w:rFonts w:ascii="Palatino Linotype" w:hAnsi="Palatino Linotype"/>
          <w:sz w:val="22"/>
        </w:rPr>
      </w:pPr>
      <w:r w:rsidRPr="00FB6EF7">
        <w:rPr>
          <w:rFonts w:ascii="Palatino Linotype" w:hAnsi="Palatino Linotype"/>
          <w:sz w:val="22"/>
          <w:lang w:val="en-US"/>
        </w:rPr>
        <w:t xml:space="preserve">Moreira, M.M., &amp; Puga, F.P. (2000). </w:t>
      </w:r>
      <w:r w:rsidRPr="00E4187D">
        <w:rPr>
          <w:rFonts w:ascii="Palatino Linotype" w:hAnsi="Palatino Linotype"/>
          <w:sz w:val="22"/>
        </w:rPr>
        <w:t>Como a Indústria financia seu crescimento: Uma Análise do Brasil Pós-Plano Real. Texto para Discussão 84 – BNDES.</w:t>
      </w:r>
    </w:p>
    <w:p w14:paraId="3424A2ED" w14:textId="77777777" w:rsidR="003922D9" w:rsidRPr="00E4187D" w:rsidRDefault="003922D9" w:rsidP="00A15D72">
      <w:pPr>
        <w:rPr>
          <w:rFonts w:ascii="Palatino Linotype" w:hAnsi="Palatino Linotype"/>
          <w:sz w:val="22"/>
        </w:rPr>
      </w:pPr>
    </w:p>
    <w:p w14:paraId="3424A2EE" w14:textId="77777777" w:rsidR="00005715" w:rsidRPr="00914749" w:rsidRDefault="00005715" w:rsidP="00A15D72">
      <w:pPr>
        <w:rPr>
          <w:rFonts w:ascii="Palatino Linotype" w:hAnsi="Palatino Linotype"/>
          <w:sz w:val="22"/>
          <w:lang w:val="en-US"/>
        </w:rPr>
      </w:pPr>
      <w:r w:rsidRPr="0004367F">
        <w:rPr>
          <w:rFonts w:ascii="Palatino Linotype" w:hAnsi="Palatino Linotype"/>
          <w:sz w:val="22"/>
        </w:rPr>
        <w:lastRenderedPageBreak/>
        <w:t xml:space="preserve">Myers, S. C., &amp; Majluf, N. S. (1984). </w:t>
      </w:r>
      <w:r w:rsidRPr="00FB7F83">
        <w:rPr>
          <w:rFonts w:ascii="Palatino Linotype" w:hAnsi="Palatino Linotype"/>
          <w:sz w:val="22"/>
          <w:lang w:val="en-US"/>
        </w:rPr>
        <w:t xml:space="preserve">Corporate financing and investment decisions when firms have information that investors do not have. </w:t>
      </w:r>
      <w:r w:rsidRPr="00914749">
        <w:rPr>
          <w:rFonts w:ascii="Palatino Linotype" w:hAnsi="Palatino Linotype"/>
          <w:sz w:val="22"/>
          <w:lang w:val="en-US"/>
        </w:rPr>
        <w:t>Journal of Financial Economics, 13 (2), 187-221.</w:t>
      </w:r>
    </w:p>
    <w:p w14:paraId="3424A2EF" w14:textId="77777777" w:rsidR="00483F67" w:rsidRPr="00914749" w:rsidRDefault="00483F67" w:rsidP="00A15D72">
      <w:pPr>
        <w:rPr>
          <w:rFonts w:ascii="Palatino Linotype" w:hAnsi="Palatino Linotype"/>
          <w:sz w:val="22"/>
          <w:lang w:val="en-US"/>
        </w:rPr>
      </w:pPr>
    </w:p>
    <w:p w14:paraId="3424A2F0" w14:textId="77777777" w:rsidR="00005715" w:rsidRPr="00E4187D" w:rsidRDefault="00005715" w:rsidP="00A15D72">
      <w:pPr>
        <w:rPr>
          <w:rFonts w:ascii="Palatino Linotype" w:hAnsi="Palatino Linotype"/>
          <w:sz w:val="22"/>
        </w:rPr>
      </w:pPr>
      <w:r w:rsidRPr="00FB7F83">
        <w:rPr>
          <w:rFonts w:ascii="Palatino Linotype" w:hAnsi="Palatino Linotype"/>
          <w:sz w:val="22"/>
          <w:lang w:val="en-US"/>
        </w:rPr>
        <w:t xml:space="preserve">Nobes, C. (1998). Towards a general model of the reasons for international differences in financial reporting. </w:t>
      </w:r>
      <w:r w:rsidRPr="00A15D72">
        <w:rPr>
          <w:rFonts w:ascii="Palatino Linotype" w:hAnsi="Palatino Linotype"/>
          <w:sz w:val="22"/>
        </w:rPr>
        <w:t xml:space="preserve">Abacus, 34 </w:t>
      </w:r>
      <w:r w:rsidRPr="00E4187D">
        <w:rPr>
          <w:rFonts w:ascii="Palatino Linotype" w:hAnsi="Palatino Linotype"/>
          <w:sz w:val="22"/>
        </w:rPr>
        <w:t>(2), 162-187.</w:t>
      </w:r>
    </w:p>
    <w:p w14:paraId="3424A2F1" w14:textId="77777777" w:rsidR="00483F67" w:rsidRDefault="00483F67" w:rsidP="00A15D72">
      <w:pPr>
        <w:rPr>
          <w:rFonts w:ascii="Palatino Linotype" w:hAnsi="Palatino Linotype"/>
          <w:sz w:val="22"/>
        </w:rPr>
      </w:pPr>
    </w:p>
    <w:p w14:paraId="3424A2F2" w14:textId="77777777" w:rsidR="00005715" w:rsidRPr="00FB7F83" w:rsidRDefault="00005715" w:rsidP="00A15D72">
      <w:pPr>
        <w:rPr>
          <w:rFonts w:ascii="Palatino Linotype" w:hAnsi="Palatino Linotype"/>
          <w:sz w:val="22"/>
          <w:lang w:val="en-US"/>
        </w:rPr>
      </w:pPr>
      <w:r w:rsidRPr="00E4187D">
        <w:rPr>
          <w:rFonts w:ascii="Palatino Linotype" w:hAnsi="Palatino Linotype"/>
          <w:sz w:val="22"/>
        </w:rPr>
        <w:t xml:space="preserve">Padilha, D. F., Michels, A., &amp; Silva, T. P. (2015, Maio). </w:t>
      </w:r>
      <w:r w:rsidRPr="00FB7F83">
        <w:rPr>
          <w:rFonts w:ascii="Palatino Linotype" w:hAnsi="Palatino Linotype"/>
          <w:sz w:val="22"/>
          <w:lang w:val="en-US"/>
        </w:rPr>
        <w:t>Determinantes capital structure high-tech companies G-20 countries. International conference on information systems &amp; technology management, São Paulo, SP, Brasil, 20-22.</w:t>
      </w:r>
    </w:p>
    <w:p w14:paraId="3424A2F3" w14:textId="77777777" w:rsidR="00483F67" w:rsidRPr="00FB7F83" w:rsidRDefault="00483F67" w:rsidP="00A15D72">
      <w:pPr>
        <w:rPr>
          <w:rFonts w:ascii="Palatino Linotype" w:hAnsi="Palatino Linotype"/>
          <w:sz w:val="22"/>
          <w:lang w:val="en-US"/>
        </w:rPr>
      </w:pPr>
    </w:p>
    <w:p w14:paraId="3424A2F4"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Perobelli, F. F. C., &amp; Famá, R. (2002). Determinantes da estrutura de capital: aplicação a empresas de capital aberto brasileiras. </w:t>
      </w:r>
      <w:r w:rsidRPr="00A15D72">
        <w:rPr>
          <w:rFonts w:ascii="Palatino Linotype" w:hAnsi="Palatino Linotype"/>
          <w:sz w:val="22"/>
        </w:rPr>
        <w:t>Revista de Administração</w:t>
      </w:r>
      <w:r w:rsidRPr="00E4187D">
        <w:rPr>
          <w:rFonts w:ascii="Palatino Linotype" w:hAnsi="Palatino Linotype"/>
          <w:sz w:val="22"/>
        </w:rPr>
        <w:t xml:space="preserve">, </w:t>
      </w:r>
      <w:r w:rsidRPr="00A15D72">
        <w:rPr>
          <w:rFonts w:ascii="Palatino Linotype" w:hAnsi="Palatino Linotype"/>
          <w:sz w:val="22"/>
        </w:rPr>
        <w:t>37</w:t>
      </w:r>
      <w:r w:rsidRPr="00E4187D">
        <w:rPr>
          <w:rFonts w:ascii="Palatino Linotype" w:hAnsi="Palatino Linotype"/>
          <w:sz w:val="22"/>
        </w:rPr>
        <w:t xml:space="preserve"> (3), 33 – 46.</w:t>
      </w:r>
    </w:p>
    <w:p w14:paraId="3424A2F5" w14:textId="77777777" w:rsidR="00483F67" w:rsidRDefault="00483F67" w:rsidP="00A15D72">
      <w:pPr>
        <w:rPr>
          <w:rFonts w:ascii="Palatino Linotype" w:hAnsi="Palatino Linotype"/>
          <w:sz w:val="22"/>
        </w:rPr>
      </w:pPr>
    </w:p>
    <w:p w14:paraId="3424A2F6" w14:textId="77777777" w:rsidR="00005715" w:rsidRPr="00E4187D" w:rsidRDefault="00005715" w:rsidP="00A15D72">
      <w:pPr>
        <w:rPr>
          <w:rFonts w:ascii="Palatino Linotype" w:hAnsi="Palatino Linotype"/>
          <w:sz w:val="22"/>
        </w:rPr>
      </w:pPr>
      <w:r w:rsidRPr="00FB6EF7">
        <w:rPr>
          <w:rFonts w:ascii="Palatino Linotype" w:hAnsi="Palatino Linotype"/>
          <w:sz w:val="22"/>
        </w:rPr>
        <w:t xml:space="preserve">Procianoy, J. L., &amp; Schnorrenberger, A (2004). </w:t>
      </w:r>
      <w:r w:rsidRPr="00E4187D">
        <w:rPr>
          <w:rFonts w:ascii="Palatino Linotype" w:hAnsi="Palatino Linotype"/>
          <w:sz w:val="22"/>
        </w:rPr>
        <w:t xml:space="preserve">A influência da estrutura de controle nas decisões de estrutura de capital das companhias brasileiras. </w:t>
      </w:r>
      <w:r w:rsidRPr="00A15D72">
        <w:rPr>
          <w:rFonts w:ascii="Palatino Linotype" w:hAnsi="Palatino Linotype"/>
          <w:sz w:val="22"/>
        </w:rPr>
        <w:t>Revista Brasileira de Economia, 58</w:t>
      </w:r>
      <w:r w:rsidRPr="00E4187D">
        <w:rPr>
          <w:rFonts w:ascii="Palatino Linotype" w:hAnsi="Palatino Linotype"/>
          <w:sz w:val="22"/>
        </w:rPr>
        <w:t xml:space="preserve"> (1), 121 – 146.</w:t>
      </w:r>
    </w:p>
    <w:p w14:paraId="3424A2F7" w14:textId="77777777" w:rsidR="00483F67" w:rsidRDefault="00483F67" w:rsidP="00A15D72">
      <w:pPr>
        <w:rPr>
          <w:rFonts w:ascii="Palatino Linotype" w:hAnsi="Palatino Linotype"/>
          <w:sz w:val="22"/>
        </w:rPr>
      </w:pPr>
    </w:p>
    <w:p w14:paraId="3424A2F8"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Silva, </w:t>
      </w:r>
      <w:r w:rsidR="00BB6EA0">
        <w:rPr>
          <w:rFonts w:ascii="Palatino Linotype" w:hAnsi="Palatino Linotype"/>
          <w:sz w:val="22"/>
        </w:rPr>
        <w:t>A. R. P.</w:t>
      </w:r>
      <w:r w:rsidRPr="00E4187D">
        <w:rPr>
          <w:rFonts w:ascii="Palatino Linotype" w:hAnsi="Palatino Linotype"/>
          <w:sz w:val="22"/>
        </w:rPr>
        <w:t xml:space="preserve"> (2015). </w:t>
      </w:r>
      <w:r w:rsidRPr="00A15D72">
        <w:rPr>
          <w:rFonts w:ascii="Palatino Linotype" w:hAnsi="Palatino Linotype"/>
          <w:sz w:val="22"/>
        </w:rPr>
        <w:t xml:space="preserve">Conservadorismo e herança institucional de financiamento das companhias abertas do Brasil. </w:t>
      </w:r>
      <w:r w:rsidRPr="00E4187D">
        <w:rPr>
          <w:rFonts w:ascii="Palatino Linotype" w:hAnsi="Palatino Linotype"/>
          <w:sz w:val="22"/>
        </w:rPr>
        <w:t>Tese de doutorado, Programa Multi-institucional e inter-regional de pós-graduação em ciências contábeis, Universidade de Brasília, Universidade Federal da paraíba, Universidade federal do Rio Grande do Norte, Natal, RN, Brasil.</w:t>
      </w:r>
    </w:p>
    <w:p w14:paraId="3424A2F9" w14:textId="77777777" w:rsidR="00483F67" w:rsidRDefault="00483F67" w:rsidP="00A15D72">
      <w:pPr>
        <w:rPr>
          <w:rFonts w:ascii="Palatino Linotype" w:hAnsi="Palatino Linotype"/>
          <w:sz w:val="22"/>
        </w:rPr>
      </w:pPr>
    </w:p>
    <w:p w14:paraId="3424A2FA" w14:textId="77777777" w:rsidR="00005715" w:rsidRPr="00FB7F83" w:rsidRDefault="00005715" w:rsidP="00A15D72">
      <w:pPr>
        <w:rPr>
          <w:rFonts w:ascii="Palatino Linotype" w:hAnsi="Palatino Linotype"/>
          <w:sz w:val="22"/>
          <w:lang w:val="en-US"/>
        </w:rPr>
      </w:pPr>
      <w:r w:rsidRPr="00FB7F83">
        <w:rPr>
          <w:rFonts w:ascii="Palatino Linotype" w:hAnsi="Palatino Linotype"/>
          <w:sz w:val="22"/>
          <w:lang w:val="en-US"/>
        </w:rPr>
        <w:t>Singh, A. (1995). Corporate Financial Patterns in Industrializing Economies. A Comparative International Study. IFC Technical Paper 2, Washington D.C.</w:t>
      </w:r>
    </w:p>
    <w:p w14:paraId="3424A2FB" w14:textId="77777777" w:rsidR="00483F67" w:rsidRPr="00FB7F83" w:rsidRDefault="00483F67" w:rsidP="00A15D72">
      <w:pPr>
        <w:rPr>
          <w:rFonts w:ascii="Palatino Linotype" w:hAnsi="Palatino Linotype"/>
          <w:sz w:val="22"/>
          <w:lang w:val="en-US"/>
        </w:rPr>
      </w:pPr>
    </w:p>
    <w:p w14:paraId="3424A2FC" w14:textId="77777777" w:rsidR="00005715" w:rsidRPr="00914749" w:rsidRDefault="00005715" w:rsidP="00A15D72">
      <w:pPr>
        <w:rPr>
          <w:rFonts w:ascii="Palatino Linotype" w:hAnsi="Palatino Linotype"/>
          <w:sz w:val="22"/>
          <w:lang w:val="en-US"/>
        </w:rPr>
      </w:pPr>
      <w:r w:rsidRPr="00FB7F83">
        <w:rPr>
          <w:rFonts w:ascii="Palatino Linotype" w:hAnsi="Palatino Linotype"/>
          <w:sz w:val="22"/>
          <w:lang w:val="en-US"/>
        </w:rPr>
        <w:t xml:space="preserve">Singh, A., &amp; Hamid, J. (1992). Corporate Financial structures in developing countries. </w:t>
      </w:r>
      <w:r w:rsidRPr="00914749">
        <w:rPr>
          <w:rFonts w:ascii="Palatino Linotype" w:hAnsi="Palatino Linotype"/>
          <w:sz w:val="22"/>
          <w:lang w:val="en-US"/>
        </w:rPr>
        <w:t xml:space="preserve">Technical Paper 2, Washington: international finance corporation. </w:t>
      </w:r>
    </w:p>
    <w:p w14:paraId="3424A2FD" w14:textId="77777777" w:rsidR="00483F67" w:rsidRPr="00914749" w:rsidRDefault="00483F67" w:rsidP="00A15D72">
      <w:pPr>
        <w:rPr>
          <w:rFonts w:ascii="Palatino Linotype" w:hAnsi="Palatino Linotype"/>
          <w:sz w:val="22"/>
          <w:lang w:val="en-US"/>
        </w:rPr>
      </w:pPr>
    </w:p>
    <w:p w14:paraId="3424A2FE" w14:textId="77777777" w:rsidR="00005715" w:rsidRPr="00E4187D" w:rsidRDefault="00005715" w:rsidP="00A15D72">
      <w:pPr>
        <w:rPr>
          <w:rFonts w:ascii="Palatino Linotype" w:hAnsi="Palatino Linotype"/>
          <w:sz w:val="22"/>
        </w:rPr>
      </w:pPr>
      <w:r w:rsidRPr="0004367F">
        <w:rPr>
          <w:rFonts w:ascii="Palatino Linotype" w:hAnsi="Palatino Linotype"/>
          <w:sz w:val="22"/>
          <w:lang w:val="en-US"/>
        </w:rPr>
        <w:t xml:space="preserve">Tani, B. B., &amp; Albanez, T. (2016). </w:t>
      </w:r>
      <w:r w:rsidRPr="00E4187D">
        <w:rPr>
          <w:rFonts w:ascii="Palatino Linotype" w:hAnsi="Palatino Linotype"/>
          <w:sz w:val="22"/>
        </w:rPr>
        <w:t xml:space="preserve">Decisões de financiamento das companhias listadas nos diferentes segmentos de governança da Bm&amp;Fbovespa according to pecking order theory. </w:t>
      </w:r>
      <w:r w:rsidRPr="00A15D72">
        <w:rPr>
          <w:rFonts w:ascii="Palatino Linotype" w:hAnsi="Palatino Linotype"/>
          <w:sz w:val="22"/>
        </w:rPr>
        <w:t xml:space="preserve">Contabilidade, gestão e governança, 19 </w:t>
      </w:r>
      <w:r w:rsidRPr="00E4187D">
        <w:rPr>
          <w:rFonts w:ascii="Palatino Linotype" w:hAnsi="Palatino Linotype"/>
          <w:sz w:val="22"/>
        </w:rPr>
        <w:t>(2), 317 – 334.</w:t>
      </w:r>
    </w:p>
    <w:p w14:paraId="3424A2FF" w14:textId="77777777" w:rsidR="00483F67" w:rsidRDefault="00483F67" w:rsidP="00A15D72">
      <w:pPr>
        <w:rPr>
          <w:rFonts w:ascii="Palatino Linotype" w:hAnsi="Palatino Linotype"/>
          <w:sz w:val="22"/>
        </w:rPr>
      </w:pPr>
    </w:p>
    <w:p w14:paraId="3424A300" w14:textId="77777777" w:rsidR="00005715" w:rsidRPr="00FB6EF7" w:rsidRDefault="00005715" w:rsidP="00A15D72">
      <w:pPr>
        <w:rPr>
          <w:rFonts w:ascii="Palatino Linotype" w:hAnsi="Palatino Linotype"/>
          <w:sz w:val="22"/>
          <w:lang w:val="en-US"/>
        </w:rPr>
      </w:pPr>
      <w:r w:rsidRPr="00E4187D">
        <w:rPr>
          <w:rFonts w:ascii="Palatino Linotype" w:hAnsi="Palatino Linotype"/>
          <w:sz w:val="22"/>
        </w:rPr>
        <w:t xml:space="preserve">Zonesnchain, C. N. (1998). Estrutura de capital das empresas no Brasil. </w:t>
      </w:r>
      <w:r w:rsidRPr="00FB6EF7">
        <w:rPr>
          <w:rFonts w:ascii="Palatino Linotype" w:hAnsi="Palatino Linotype"/>
          <w:sz w:val="22"/>
          <w:lang w:val="en-US"/>
        </w:rPr>
        <w:t>Revista do BNDS, 5 (10), 63 – 92.</w:t>
      </w:r>
    </w:p>
    <w:p w14:paraId="3424A301" w14:textId="77777777" w:rsidR="00483F67" w:rsidRPr="00FB6EF7" w:rsidRDefault="00483F67" w:rsidP="00A15D72">
      <w:pPr>
        <w:rPr>
          <w:rFonts w:ascii="Palatino Linotype" w:hAnsi="Palatino Linotype"/>
          <w:sz w:val="22"/>
          <w:lang w:val="en-US"/>
        </w:rPr>
      </w:pPr>
    </w:p>
    <w:p w14:paraId="3424A302" w14:textId="77777777" w:rsidR="00F90708" w:rsidRPr="00E4187D" w:rsidRDefault="00005715" w:rsidP="00A15D72">
      <w:pPr>
        <w:rPr>
          <w:rFonts w:ascii="Palatino Linotype" w:hAnsi="Palatino Linotype"/>
          <w:sz w:val="22"/>
        </w:rPr>
      </w:pPr>
      <w:r w:rsidRPr="00FB7F83">
        <w:rPr>
          <w:rFonts w:ascii="Palatino Linotype" w:hAnsi="Palatino Linotype"/>
          <w:sz w:val="22"/>
          <w:lang w:val="en-US"/>
        </w:rPr>
        <w:t xml:space="preserve">Zysman, J. (1983). Government, Market and growth: financial systems and the politics of industrial change. </w:t>
      </w:r>
      <w:r w:rsidRPr="00A15D72">
        <w:rPr>
          <w:rFonts w:ascii="Palatino Linotype" w:hAnsi="Palatino Linotype"/>
          <w:sz w:val="22"/>
        </w:rPr>
        <w:t>Corne</w:t>
      </w:r>
      <w:r w:rsidRPr="00E4187D">
        <w:rPr>
          <w:rFonts w:ascii="Palatino Linotype" w:hAnsi="Palatino Linotype"/>
          <w:sz w:val="22"/>
          <w:lang w:val="en-US"/>
        </w:rPr>
        <w:t xml:space="preserve">ll University Press. </w:t>
      </w:r>
    </w:p>
    <w:sectPr w:rsidR="00F90708" w:rsidRPr="00E4187D" w:rsidSect="00FB7F83">
      <w:headerReference w:type="default"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3B8ED" w14:textId="77777777" w:rsidR="00745B64" w:rsidRDefault="00745B64" w:rsidP="00BB5F26">
      <w:r>
        <w:separator/>
      </w:r>
    </w:p>
  </w:endnote>
  <w:endnote w:type="continuationSeparator" w:id="0">
    <w:p w14:paraId="5EE47795" w14:textId="77777777" w:rsidR="00745B64" w:rsidRDefault="00745B64" w:rsidP="00B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03521"/>
      <w:docPartObj>
        <w:docPartGallery w:val="Page Numbers (Bottom of Page)"/>
        <w:docPartUnique/>
      </w:docPartObj>
    </w:sdtPr>
    <w:sdtEndPr/>
    <w:sdtContent>
      <w:p w14:paraId="3424A31C" w14:textId="306D3DEB" w:rsidR="003D0CE5" w:rsidRDefault="003D0CE5">
        <w:pPr>
          <w:pStyle w:val="Rodap"/>
          <w:jc w:val="right"/>
        </w:pPr>
        <w:r>
          <w:fldChar w:fldCharType="begin"/>
        </w:r>
        <w:r>
          <w:instrText>PAGE   \* MERGEFORMAT</w:instrText>
        </w:r>
        <w:r>
          <w:fldChar w:fldCharType="separate"/>
        </w:r>
        <w:r w:rsidR="00035E2C">
          <w:rPr>
            <w:noProof/>
          </w:rPr>
          <w:t>1</w:t>
        </w:r>
        <w:r>
          <w:fldChar w:fldCharType="end"/>
        </w:r>
      </w:p>
    </w:sdtContent>
  </w:sdt>
  <w:p w14:paraId="3424A31D" w14:textId="77777777" w:rsidR="003D0CE5" w:rsidRDefault="003D0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AFD22" w14:textId="77777777" w:rsidR="00745B64" w:rsidRDefault="00745B64" w:rsidP="00BB5F26">
      <w:r>
        <w:separator/>
      </w:r>
    </w:p>
  </w:footnote>
  <w:footnote w:type="continuationSeparator" w:id="0">
    <w:p w14:paraId="75195A27" w14:textId="77777777" w:rsidR="00745B64" w:rsidRDefault="00745B64" w:rsidP="00BB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4A31B" w14:textId="77777777" w:rsidR="003D0CE5" w:rsidRDefault="003D0CE5" w:rsidP="00525F03">
    <w:pPr>
      <w:pStyle w:val="Cabealh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AE1"/>
    <w:multiLevelType w:val="hybridMultilevel"/>
    <w:tmpl w:val="BDBC863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1B32060D"/>
    <w:multiLevelType w:val="multilevel"/>
    <w:tmpl w:val="A858B0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412D8D"/>
    <w:multiLevelType w:val="multilevel"/>
    <w:tmpl w:val="5D1ECAA2"/>
    <w:lvl w:ilvl="0">
      <w:start w:val="1"/>
      <w:numFmt w:val="decimal"/>
      <w:lvlText w:val="%1."/>
      <w:lvlJc w:val="left"/>
      <w:pPr>
        <w:ind w:left="720" w:hanging="360"/>
      </w:pPr>
      <w:rPr>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1742465"/>
    <w:multiLevelType w:val="hybridMultilevel"/>
    <w:tmpl w:val="C086656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21D76216"/>
    <w:multiLevelType w:val="multilevel"/>
    <w:tmpl w:val="3A02C0BA"/>
    <w:lvl w:ilvl="0">
      <w:start w:val="2"/>
      <w:numFmt w:val="decimal"/>
      <w:lvlText w:val="%1"/>
      <w:lvlJc w:val="left"/>
      <w:pPr>
        <w:ind w:left="480" w:hanging="480"/>
      </w:pPr>
      <w:rPr>
        <w:rFonts w:hint="default"/>
        <w:b/>
        <w:i w:val="0"/>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21EA5728"/>
    <w:multiLevelType w:val="multilevel"/>
    <w:tmpl w:val="79D20F0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3CF73DB"/>
    <w:multiLevelType w:val="hybridMultilevel"/>
    <w:tmpl w:val="F57E8B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491096D"/>
    <w:multiLevelType w:val="hybridMultilevel"/>
    <w:tmpl w:val="A05A1D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24DE1A7C"/>
    <w:multiLevelType w:val="hybridMultilevel"/>
    <w:tmpl w:val="16BEF16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nsid w:val="2F132EDF"/>
    <w:multiLevelType w:val="hybridMultilevel"/>
    <w:tmpl w:val="23D87D4C"/>
    <w:lvl w:ilvl="0" w:tplc="7C9042E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FA045E"/>
    <w:multiLevelType w:val="multilevel"/>
    <w:tmpl w:val="894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A957C0"/>
    <w:multiLevelType w:val="hybridMultilevel"/>
    <w:tmpl w:val="5A56138E"/>
    <w:lvl w:ilvl="0" w:tplc="218428C4">
      <w:start w:val="5"/>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nsid w:val="41CC7BAE"/>
    <w:multiLevelType w:val="hybridMultilevel"/>
    <w:tmpl w:val="39085188"/>
    <w:lvl w:ilvl="0" w:tplc="C51E96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C77C28"/>
    <w:multiLevelType w:val="hybridMultilevel"/>
    <w:tmpl w:val="81484B90"/>
    <w:lvl w:ilvl="0" w:tplc="71F64CB8">
      <w:start w:val="1"/>
      <w:numFmt w:val="decimal"/>
      <w:lvlText w:val="%1"/>
      <w:lvlJc w:val="left"/>
      <w:pPr>
        <w:ind w:left="720" w:hanging="360"/>
      </w:pPr>
      <w:rPr>
        <w:rFonts w:eastAsiaTheme="minorHAnsi"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3C395A"/>
    <w:multiLevelType w:val="hybridMultilevel"/>
    <w:tmpl w:val="B644BEFC"/>
    <w:lvl w:ilvl="0" w:tplc="8E724224">
      <w:start w:val="6"/>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66814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403B9D"/>
    <w:multiLevelType w:val="hybridMultilevel"/>
    <w:tmpl w:val="8A068AC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nsid w:val="59BE20D9"/>
    <w:multiLevelType w:val="multilevel"/>
    <w:tmpl w:val="04160025"/>
    <w:lvl w:ilvl="0">
      <w:start w:val="1"/>
      <w:numFmt w:val="decimal"/>
      <w:pStyle w:val="Ttulo1"/>
      <w:lvlText w:val="%1"/>
      <w:lvlJc w:val="left"/>
      <w:pPr>
        <w:ind w:left="999" w:hanging="432"/>
      </w:pPr>
    </w:lvl>
    <w:lvl w:ilvl="1">
      <w:start w:val="1"/>
      <w:numFmt w:val="decimal"/>
      <w:pStyle w:val="Ttulo2"/>
      <w:lvlText w:val="%1.%2"/>
      <w:lvlJc w:val="left"/>
      <w:pPr>
        <w:ind w:left="1143" w:hanging="576"/>
      </w:pPr>
    </w:lvl>
    <w:lvl w:ilvl="2">
      <w:start w:val="1"/>
      <w:numFmt w:val="decimal"/>
      <w:pStyle w:val="Ttulo3"/>
      <w:lvlText w:val="%1.%2.%3"/>
      <w:lvlJc w:val="left"/>
      <w:pPr>
        <w:ind w:left="1287" w:hanging="720"/>
      </w:pPr>
    </w:lvl>
    <w:lvl w:ilvl="3">
      <w:start w:val="1"/>
      <w:numFmt w:val="decimal"/>
      <w:pStyle w:val="Ttulo4"/>
      <w:lvlText w:val="%1.%2.%3.%4"/>
      <w:lvlJc w:val="left"/>
      <w:pPr>
        <w:ind w:left="1431" w:hanging="864"/>
      </w:pPr>
    </w:lvl>
    <w:lvl w:ilvl="4">
      <w:start w:val="1"/>
      <w:numFmt w:val="decimal"/>
      <w:pStyle w:val="Ttulo5"/>
      <w:lvlText w:val="%1.%2.%3.%4.%5"/>
      <w:lvlJc w:val="left"/>
      <w:pPr>
        <w:ind w:left="1575" w:hanging="1008"/>
      </w:pPr>
    </w:lvl>
    <w:lvl w:ilvl="5">
      <w:start w:val="1"/>
      <w:numFmt w:val="decimal"/>
      <w:pStyle w:val="Ttulo6"/>
      <w:lvlText w:val="%1.%2.%3.%4.%5.%6"/>
      <w:lvlJc w:val="left"/>
      <w:pPr>
        <w:ind w:left="1719" w:hanging="1152"/>
      </w:pPr>
    </w:lvl>
    <w:lvl w:ilvl="6">
      <w:start w:val="1"/>
      <w:numFmt w:val="decimal"/>
      <w:pStyle w:val="Ttulo7"/>
      <w:lvlText w:val="%1.%2.%3.%4.%5.%6.%7"/>
      <w:lvlJc w:val="left"/>
      <w:pPr>
        <w:ind w:left="1863" w:hanging="1296"/>
      </w:pPr>
    </w:lvl>
    <w:lvl w:ilvl="7">
      <w:start w:val="1"/>
      <w:numFmt w:val="decimal"/>
      <w:pStyle w:val="Ttulo8"/>
      <w:lvlText w:val="%1.%2.%3.%4.%5.%6.%7.%8"/>
      <w:lvlJc w:val="left"/>
      <w:pPr>
        <w:ind w:left="2007" w:hanging="1440"/>
      </w:pPr>
    </w:lvl>
    <w:lvl w:ilvl="8">
      <w:start w:val="1"/>
      <w:numFmt w:val="decimal"/>
      <w:pStyle w:val="Ttulo9"/>
      <w:lvlText w:val="%1.%2.%3.%4.%5.%6.%7.%8.%9"/>
      <w:lvlJc w:val="left"/>
      <w:pPr>
        <w:ind w:left="2151" w:hanging="1584"/>
      </w:pPr>
    </w:lvl>
  </w:abstractNum>
  <w:abstractNum w:abstractNumId="18">
    <w:nsid w:val="5C847727"/>
    <w:multiLevelType w:val="multilevel"/>
    <w:tmpl w:val="C8ECB04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81DAE"/>
    <w:multiLevelType w:val="hybridMultilevel"/>
    <w:tmpl w:val="837CC394"/>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6EB1532"/>
    <w:multiLevelType w:val="hybridMultilevel"/>
    <w:tmpl w:val="81C29646"/>
    <w:lvl w:ilvl="0" w:tplc="96060D3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67A73624"/>
    <w:multiLevelType w:val="multilevel"/>
    <w:tmpl w:val="85BE4D4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AA21AFE"/>
    <w:multiLevelType w:val="hybridMultilevel"/>
    <w:tmpl w:val="8B466DF8"/>
    <w:lvl w:ilvl="0" w:tplc="0416000F">
      <w:start w:val="1"/>
      <w:numFmt w:val="decimal"/>
      <w:lvlText w:val="%1."/>
      <w:lvlJc w:val="left"/>
      <w:pPr>
        <w:ind w:left="1296" w:hanging="360"/>
      </w:pPr>
    </w:lvl>
    <w:lvl w:ilvl="1" w:tplc="04160019" w:tentative="1">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23">
    <w:nsid w:val="730A09DA"/>
    <w:multiLevelType w:val="hybridMultilevel"/>
    <w:tmpl w:val="FFCE2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C0A52BA"/>
    <w:multiLevelType w:val="hybridMultilevel"/>
    <w:tmpl w:val="D0CCBA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7E293D53"/>
    <w:multiLevelType w:val="hybridMultilevel"/>
    <w:tmpl w:val="3154AE3C"/>
    <w:lvl w:ilvl="0" w:tplc="052A58EE">
      <w:start w:val="2"/>
      <w:numFmt w:val="decimal"/>
      <w:lvlText w:val="%1"/>
      <w:lvlJc w:val="left"/>
      <w:pPr>
        <w:ind w:left="720" w:hanging="360"/>
      </w:pPr>
      <w:rPr>
        <w:rFonts w:eastAsiaTheme="minorHAnsi"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7"/>
  </w:num>
  <w:num w:numId="3">
    <w:abstractNumId w:val="2"/>
  </w:num>
  <w:num w:numId="4">
    <w:abstractNumId w:val="15"/>
  </w:num>
  <w:num w:numId="5">
    <w:abstractNumId w:val="5"/>
  </w:num>
  <w:num w:numId="6">
    <w:abstractNumId w:val="22"/>
  </w:num>
  <w:num w:numId="7">
    <w:abstractNumId w:val="6"/>
  </w:num>
  <w:num w:numId="8">
    <w:abstractNumId w:val="9"/>
  </w:num>
  <w:num w:numId="9">
    <w:abstractNumId w:val="3"/>
  </w:num>
  <w:num w:numId="10">
    <w:abstractNumId w:val="0"/>
  </w:num>
  <w:num w:numId="11">
    <w:abstractNumId w:val="19"/>
  </w:num>
  <w:num w:numId="12">
    <w:abstractNumId w:val="20"/>
  </w:num>
  <w:num w:numId="13">
    <w:abstractNumId w:val="16"/>
  </w:num>
  <w:num w:numId="14">
    <w:abstractNumId w:val="11"/>
  </w:num>
  <w:num w:numId="15">
    <w:abstractNumId w:val="7"/>
  </w:num>
  <w:num w:numId="16">
    <w:abstractNumId w:val="8"/>
  </w:num>
  <w:num w:numId="17">
    <w:abstractNumId w:val="18"/>
  </w:num>
  <w:num w:numId="18">
    <w:abstractNumId w:val="4"/>
  </w:num>
  <w:num w:numId="19">
    <w:abstractNumId w:val="12"/>
  </w:num>
  <w:num w:numId="20">
    <w:abstractNumId w:val="13"/>
  </w:num>
  <w:num w:numId="21">
    <w:abstractNumId w:val="25"/>
  </w:num>
  <w:num w:numId="22">
    <w:abstractNumId w:val="1"/>
  </w:num>
  <w:num w:numId="23">
    <w:abstractNumId w:val="21"/>
  </w:num>
  <w:num w:numId="24">
    <w:abstractNumId w:val="14"/>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31"/>
    <w:rsid w:val="00005715"/>
    <w:rsid w:val="000141EB"/>
    <w:rsid w:val="00016577"/>
    <w:rsid w:val="00035E2C"/>
    <w:rsid w:val="0004367F"/>
    <w:rsid w:val="000521A7"/>
    <w:rsid w:val="00056C04"/>
    <w:rsid w:val="00081CA5"/>
    <w:rsid w:val="000D155E"/>
    <w:rsid w:val="000D5682"/>
    <w:rsid w:val="000D5A03"/>
    <w:rsid w:val="000E70AD"/>
    <w:rsid w:val="0011709A"/>
    <w:rsid w:val="00120BA3"/>
    <w:rsid w:val="001352FE"/>
    <w:rsid w:val="001417B5"/>
    <w:rsid w:val="00147F80"/>
    <w:rsid w:val="00157509"/>
    <w:rsid w:val="001652DD"/>
    <w:rsid w:val="0018089C"/>
    <w:rsid w:val="00181FE5"/>
    <w:rsid w:val="001836BE"/>
    <w:rsid w:val="00183F9E"/>
    <w:rsid w:val="001A068A"/>
    <w:rsid w:val="001A68EC"/>
    <w:rsid w:val="001C144B"/>
    <w:rsid w:val="001C5848"/>
    <w:rsid w:val="001D582C"/>
    <w:rsid w:val="001D5F18"/>
    <w:rsid w:val="001E6724"/>
    <w:rsid w:val="001F6DCC"/>
    <w:rsid w:val="002106A0"/>
    <w:rsid w:val="00220A8A"/>
    <w:rsid w:val="00241CD4"/>
    <w:rsid w:val="00242A54"/>
    <w:rsid w:val="0024452C"/>
    <w:rsid w:val="00252753"/>
    <w:rsid w:val="00265FF0"/>
    <w:rsid w:val="00293FE3"/>
    <w:rsid w:val="002A51B1"/>
    <w:rsid w:val="002B1D3F"/>
    <w:rsid w:val="002B290E"/>
    <w:rsid w:val="002B40AE"/>
    <w:rsid w:val="002C4CAF"/>
    <w:rsid w:val="002E3F5E"/>
    <w:rsid w:val="002E7D5E"/>
    <w:rsid w:val="002F48CC"/>
    <w:rsid w:val="00304548"/>
    <w:rsid w:val="00331E96"/>
    <w:rsid w:val="00345C93"/>
    <w:rsid w:val="00360FF1"/>
    <w:rsid w:val="003644AC"/>
    <w:rsid w:val="003665D7"/>
    <w:rsid w:val="003922D9"/>
    <w:rsid w:val="003C14E6"/>
    <w:rsid w:val="003C4474"/>
    <w:rsid w:val="003C7B64"/>
    <w:rsid w:val="003D0CE5"/>
    <w:rsid w:val="00412FD3"/>
    <w:rsid w:val="00415438"/>
    <w:rsid w:val="00415F8E"/>
    <w:rsid w:val="004361E3"/>
    <w:rsid w:val="00437FF2"/>
    <w:rsid w:val="004416E1"/>
    <w:rsid w:val="00444D39"/>
    <w:rsid w:val="00456C06"/>
    <w:rsid w:val="00464B5A"/>
    <w:rsid w:val="0046682E"/>
    <w:rsid w:val="00483F67"/>
    <w:rsid w:val="004906CA"/>
    <w:rsid w:val="0049446C"/>
    <w:rsid w:val="004A2018"/>
    <w:rsid w:val="004D3D94"/>
    <w:rsid w:val="00503154"/>
    <w:rsid w:val="00525F03"/>
    <w:rsid w:val="00544148"/>
    <w:rsid w:val="005512E6"/>
    <w:rsid w:val="00554D09"/>
    <w:rsid w:val="00562BC1"/>
    <w:rsid w:val="00587C0C"/>
    <w:rsid w:val="005C73FB"/>
    <w:rsid w:val="005E316E"/>
    <w:rsid w:val="005E6D4E"/>
    <w:rsid w:val="00606F8F"/>
    <w:rsid w:val="00632CE0"/>
    <w:rsid w:val="006357C5"/>
    <w:rsid w:val="006401DC"/>
    <w:rsid w:val="006463C0"/>
    <w:rsid w:val="006463E6"/>
    <w:rsid w:val="00646498"/>
    <w:rsid w:val="00660323"/>
    <w:rsid w:val="00666929"/>
    <w:rsid w:val="00672862"/>
    <w:rsid w:val="00681163"/>
    <w:rsid w:val="00685375"/>
    <w:rsid w:val="006866A7"/>
    <w:rsid w:val="00691AFD"/>
    <w:rsid w:val="00691CCB"/>
    <w:rsid w:val="0069609C"/>
    <w:rsid w:val="006A7AAA"/>
    <w:rsid w:val="006B269F"/>
    <w:rsid w:val="006C2A77"/>
    <w:rsid w:val="006C4A59"/>
    <w:rsid w:val="006C5CBC"/>
    <w:rsid w:val="006C6D9B"/>
    <w:rsid w:val="006D1C57"/>
    <w:rsid w:val="006F1BCE"/>
    <w:rsid w:val="00711E2F"/>
    <w:rsid w:val="00734EB7"/>
    <w:rsid w:val="0074285A"/>
    <w:rsid w:val="00745B64"/>
    <w:rsid w:val="00756A33"/>
    <w:rsid w:val="00760718"/>
    <w:rsid w:val="00763A04"/>
    <w:rsid w:val="00765A5F"/>
    <w:rsid w:val="00775CB1"/>
    <w:rsid w:val="0078671E"/>
    <w:rsid w:val="007931C6"/>
    <w:rsid w:val="007A029B"/>
    <w:rsid w:val="007A4578"/>
    <w:rsid w:val="007A4ECE"/>
    <w:rsid w:val="007A7A06"/>
    <w:rsid w:val="007B0574"/>
    <w:rsid w:val="007B1C40"/>
    <w:rsid w:val="007C16EC"/>
    <w:rsid w:val="007C5237"/>
    <w:rsid w:val="007D2B71"/>
    <w:rsid w:val="007D3818"/>
    <w:rsid w:val="007E2C42"/>
    <w:rsid w:val="007E355A"/>
    <w:rsid w:val="007F18F1"/>
    <w:rsid w:val="007F2CF9"/>
    <w:rsid w:val="00812981"/>
    <w:rsid w:val="00815ACE"/>
    <w:rsid w:val="00836D20"/>
    <w:rsid w:val="00837A7C"/>
    <w:rsid w:val="00850977"/>
    <w:rsid w:val="00855940"/>
    <w:rsid w:val="008609DE"/>
    <w:rsid w:val="00882282"/>
    <w:rsid w:val="00885DD6"/>
    <w:rsid w:val="008A1738"/>
    <w:rsid w:val="008A18A2"/>
    <w:rsid w:val="008B62E3"/>
    <w:rsid w:val="008C31A8"/>
    <w:rsid w:val="008D2DF0"/>
    <w:rsid w:val="008E7DF0"/>
    <w:rsid w:val="008F412B"/>
    <w:rsid w:val="00914749"/>
    <w:rsid w:val="00917A09"/>
    <w:rsid w:val="009314E3"/>
    <w:rsid w:val="009405A3"/>
    <w:rsid w:val="00957331"/>
    <w:rsid w:val="00957FBE"/>
    <w:rsid w:val="00966505"/>
    <w:rsid w:val="009951C5"/>
    <w:rsid w:val="009A51E2"/>
    <w:rsid w:val="009B1E1C"/>
    <w:rsid w:val="009B2924"/>
    <w:rsid w:val="009B784E"/>
    <w:rsid w:val="009C1C6A"/>
    <w:rsid w:val="009C2B46"/>
    <w:rsid w:val="009C7D31"/>
    <w:rsid w:val="009D124C"/>
    <w:rsid w:val="009D403E"/>
    <w:rsid w:val="009F1941"/>
    <w:rsid w:val="00A02C3E"/>
    <w:rsid w:val="00A039F4"/>
    <w:rsid w:val="00A12287"/>
    <w:rsid w:val="00A15D72"/>
    <w:rsid w:val="00A2502F"/>
    <w:rsid w:val="00A27999"/>
    <w:rsid w:val="00A444BE"/>
    <w:rsid w:val="00A63845"/>
    <w:rsid w:val="00A756BD"/>
    <w:rsid w:val="00A77246"/>
    <w:rsid w:val="00A85AD8"/>
    <w:rsid w:val="00A85C71"/>
    <w:rsid w:val="00A86C52"/>
    <w:rsid w:val="00AC71F7"/>
    <w:rsid w:val="00AD6ABB"/>
    <w:rsid w:val="00AE1D42"/>
    <w:rsid w:val="00AE3DB7"/>
    <w:rsid w:val="00AE725D"/>
    <w:rsid w:val="00AF47A2"/>
    <w:rsid w:val="00AF6AEE"/>
    <w:rsid w:val="00B03A60"/>
    <w:rsid w:val="00B236F8"/>
    <w:rsid w:val="00B270AD"/>
    <w:rsid w:val="00B40AAF"/>
    <w:rsid w:val="00B67D4D"/>
    <w:rsid w:val="00B86AD2"/>
    <w:rsid w:val="00BA0B50"/>
    <w:rsid w:val="00BB0CB7"/>
    <w:rsid w:val="00BB4FF9"/>
    <w:rsid w:val="00BB5F26"/>
    <w:rsid w:val="00BB6EA0"/>
    <w:rsid w:val="00BC2280"/>
    <w:rsid w:val="00BC2AF0"/>
    <w:rsid w:val="00BD29CD"/>
    <w:rsid w:val="00BD2B91"/>
    <w:rsid w:val="00BE233F"/>
    <w:rsid w:val="00BE39BE"/>
    <w:rsid w:val="00BF78F3"/>
    <w:rsid w:val="00C00A5D"/>
    <w:rsid w:val="00C0184A"/>
    <w:rsid w:val="00C13B15"/>
    <w:rsid w:val="00C140FF"/>
    <w:rsid w:val="00C36423"/>
    <w:rsid w:val="00C435DF"/>
    <w:rsid w:val="00C44C92"/>
    <w:rsid w:val="00C60034"/>
    <w:rsid w:val="00C606D0"/>
    <w:rsid w:val="00C74B22"/>
    <w:rsid w:val="00C80AE4"/>
    <w:rsid w:val="00C835FA"/>
    <w:rsid w:val="00CA6B19"/>
    <w:rsid w:val="00CA6EE4"/>
    <w:rsid w:val="00CB6CEA"/>
    <w:rsid w:val="00CD4A20"/>
    <w:rsid w:val="00CE3047"/>
    <w:rsid w:val="00D01F2B"/>
    <w:rsid w:val="00D05EC4"/>
    <w:rsid w:val="00D06DB9"/>
    <w:rsid w:val="00D353E2"/>
    <w:rsid w:val="00D36188"/>
    <w:rsid w:val="00D435E7"/>
    <w:rsid w:val="00D4434D"/>
    <w:rsid w:val="00D51FAF"/>
    <w:rsid w:val="00D56621"/>
    <w:rsid w:val="00D86A95"/>
    <w:rsid w:val="00D93A72"/>
    <w:rsid w:val="00DA03F0"/>
    <w:rsid w:val="00DB0ECB"/>
    <w:rsid w:val="00DB2592"/>
    <w:rsid w:val="00DB34B8"/>
    <w:rsid w:val="00DD76BE"/>
    <w:rsid w:val="00DE3C82"/>
    <w:rsid w:val="00DF1BC3"/>
    <w:rsid w:val="00E11A80"/>
    <w:rsid w:val="00E21B08"/>
    <w:rsid w:val="00E238DA"/>
    <w:rsid w:val="00E32B9B"/>
    <w:rsid w:val="00E3303D"/>
    <w:rsid w:val="00E4187D"/>
    <w:rsid w:val="00E60050"/>
    <w:rsid w:val="00E6439E"/>
    <w:rsid w:val="00E77901"/>
    <w:rsid w:val="00E77A18"/>
    <w:rsid w:val="00E80AD6"/>
    <w:rsid w:val="00EB00C5"/>
    <w:rsid w:val="00EB151B"/>
    <w:rsid w:val="00EB161E"/>
    <w:rsid w:val="00EB5401"/>
    <w:rsid w:val="00EE4330"/>
    <w:rsid w:val="00EF191A"/>
    <w:rsid w:val="00F05858"/>
    <w:rsid w:val="00F1217D"/>
    <w:rsid w:val="00F26AB7"/>
    <w:rsid w:val="00F305AC"/>
    <w:rsid w:val="00F46AB3"/>
    <w:rsid w:val="00F51320"/>
    <w:rsid w:val="00F65AB3"/>
    <w:rsid w:val="00F66EED"/>
    <w:rsid w:val="00F710B8"/>
    <w:rsid w:val="00F839FA"/>
    <w:rsid w:val="00F850BC"/>
    <w:rsid w:val="00F90708"/>
    <w:rsid w:val="00FA1A61"/>
    <w:rsid w:val="00FA48D0"/>
    <w:rsid w:val="00FB6EF7"/>
    <w:rsid w:val="00FB7F83"/>
    <w:rsid w:val="00FC4142"/>
    <w:rsid w:val="00FC4AE9"/>
    <w:rsid w:val="00FD2CF9"/>
    <w:rsid w:val="00FE053A"/>
    <w:rsid w:val="00FE0C24"/>
    <w:rsid w:val="00FF4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5715"/>
    <w:pPr>
      <w:keepNext/>
      <w:keepLines/>
      <w:numPr>
        <w:numId w:val="2"/>
      </w:numPr>
      <w:spacing w:before="120" w:line="360" w:lineRule="auto"/>
      <w:outlineLvl w:val="0"/>
    </w:pPr>
    <w:rPr>
      <w:rFonts w:eastAsia="Times New Roman" w:cs="Times New Roman"/>
      <w:b/>
      <w:bCs/>
      <w:caps/>
      <w:szCs w:val="28"/>
    </w:rPr>
  </w:style>
  <w:style w:type="paragraph" w:styleId="Ttulo2">
    <w:name w:val="heading 2"/>
    <w:basedOn w:val="Normal"/>
    <w:next w:val="Normal"/>
    <w:link w:val="Ttulo2Char"/>
    <w:uiPriority w:val="9"/>
    <w:unhideWhenUsed/>
    <w:qFormat/>
    <w:rsid w:val="00005715"/>
    <w:pPr>
      <w:keepNext/>
      <w:keepLines/>
      <w:numPr>
        <w:ilvl w:val="1"/>
        <w:numId w:val="2"/>
      </w:numPr>
      <w:spacing w:before="200"/>
      <w:outlineLvl w:val="1"/>
    </w:pPr>
    <w:rPr>
      <w:rFonts w:eastAsia="Times New Roman" w:cs="Times New Roman"/>
      <w:b/>
      <w:bCs/>
      <w:szCs w:val="26"/>
    </w:rPr>
  </w:style>
  <w:style w:type="paragraph" w:styleId="Ttulo3">
    <w:name w:val="heading 3"/>
    <w:basedOn w:val="Normal"/>
    <w:next w:val="Normal"/>
    <w:link w:val="Ttulo3Char"/>
    <w:uiPriority w:val="9"/>
    <w:unhideWhenUsed/>
    <w:qFormat/>
    <w:rsid w:val="00005715"/>
    <w:pPr>
      <w:keepNext/>
      <w:keepLines/>
      <w:numPr>
        <w:ilvl w:val="2"/>
        <w:numId w:val="2"/>
      </w:numPr>
      <w:spacing w:before="200"/>
      <w:outlineLvl w:val="2"/>
    </w:pPr>
    <w:rPr>
      <w:rFonts w:eastAsia="Times New Roman" w:cs="Times New Roman"/>
      <w:bCs/>
      <w:szCs w:val="24"/>
    </w:rPr>
  </w:style>
  <w:style w:type="paragraph" w:styleId="Ttulo4">
    <w:name w:val="heading 4"/>
    <w:basedOn w:val="Normal"/>
    <w:next w:val="Normal"/>
    <w:link w:val="Ttulo4Char"/>
    <w:uiPriority w:val="9"/>
    <w:semiHidden/>
    <w:unhideWhenUsed/>
    <w:qFormat/>
    <w:rsid w:val="00005715"/>
    <w:pPr>
      <w:keepNext/>
      <w:keepLines/>
      <w:numPr>
        <w:ilvl w:val="3"/>
        <w:numId w:val="2"/>
      </w:numPr>
      <w:spacing w:before="200"/>
      <w:outlineLvl w:val="3"/>
    </w:pPr>
    <w:rPr>
      <w:rFonts w:ascii="Cambria" w:eastAsia="Times New Roman" w:hAnsi="Cambria" w:cs="Times New Roman"/>
      <w:b/>
      <w:bCs/>
      <w:i/>
      <w:iCs/>
      <w:color w:val="4F81BD"/>
      <w:szCs w:val="24"/>
    </w:rPr>
  </w:style>
  <w:style w:type="paragraph" w:styleId="Ttulo5">
    <w:name w:val="heading 5"/>
    <w:basedOn w:val="Normal"/>
    <w:next w:val="Normal"/>
    <w:link w:val="Ttulo5Char"/>
    <w:uiPriority w:val="9"/>
    <w:semiHidden/>
    <w:unhideWhenUsed/>
    <w:qFormat/>
    <w:rsid w:val="00005715"/>
    <w:pPr>
      <w:keepNext/>
      <w:keepLines/>
      <w:numPr>
        <w:ilvl w:val="4"/>
        <w:numId w:val="2"/>
      </w:numPr>
      <w:spacing w:before="200"/>
      <w:outlineLvl w:val="4"/>
    </w:pPr>
    <w:rPr>
      <w:rFonts w:ascii="Cambria" w:eastAsia="Times New Roman" w:hAnsi="Cambria" w:cs="Times New Roman"/>
      <w:color w:val="243F60"/>
      <w:szCs w:val="24"/>
    </w:rPr>
  </w:style>
  <w:style w:type="paragraph" w:styleId="Ttulo6">
    <w:name w:val="heading 6"/>
    <w:basedOn w:val="Normal"/>
    <w:next w:val="Normal"/>
    <w:link w:val="Ttulo6Char"/>
    <w:uiPriority w:val="9"/>
    <w:semiHidden/>
    <w:unhideWhenUsed/>
    <w:qFormat/>
    <w:rsid w:val="00005715"/>
    <w:pPr>
      <w:keepNext/>
      <w:keepLines/>
      <w:numPr>
        <w:ilvl w:val="5"/>
        <w:numId w:val="2"/>
      </w:numPr>
      <w:spacing w:before="200"/>
      <w:outlineLvl w:val="5"/>
    </w:pPr>
    <w:rPr>
      <w:rFonts w:ascii="Cambria" w:eastAsia="Times New Roman" w:hAnsi="Cambria" w:cs="Times New Roman"/>
      <w:i/>
      <w:iCs/>
      <w:color w:val="243F60"/>
      <w:szCs w:val="24"/>
    </w:rPr>
  </w:style>
  <w:style w:type="paragraph" w:styleId="Ttulo7">
    <w:name w:val="heading 7"/>
    <w:basedOn w:val="Normal"/>
    <w:next w:val="Normal"/>
    <w:link w:val="Ttulo7Char"/>
    <w:uiPriority w:val="9"/>
    <w:semiHidden/>
    <w:unhideWhenUsed/>
    <w:qFormat/>
    <w:rsid w:val="00005715"/>
    <w:pPr>
      <w:keepNext/>
      <w:keepLines/>
      <w:numPr>
        <w:ilvl w:val="6"/>
        <w:numId w:val="2"/>
      </w:numPr>
      <w:spacing w:before="200"/>
      <w:outlineLvl w:val="6"/>
    </w:pPr>
    <w:rPr>
      <w:rFonts w:ascii="Cambria" w:eastAsia="Times New Roman" w:hAnsi="Cambria" w:cs="Times New Roman"/>
      <w:i/>
      <w:iCs/>
      <w:color w:val="404040"/>
      <w:szCs w:val="24"/>
    </w:rPr>
  </w:style>
  <w:style w:type="paragraph" w:styleId="Ttulo8">
    <w:name w:val="heading 8"/>
    <w:basedOn w:val="Normal"/>
    <w:next w:val="Normal"/>
    <w:link w:val="Ttulo8Char"/>
    <w:uiPriority w:val="9"/>
    <w:semiHidden/>
    <w:unhideWhenUsed/>
    <w:qFormat/>
    <w:rsid w:val="00005715"/>
    <w:pPr>
      <w:keepNext/>
      <w:keepLines/>
      <w:numPr>
        <w:ilvl w:val="7"/>
        <w:numId w:val="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semiHidden/>
    <w:unhideWhenUsed/>
    <w:qFormat/>
    <w:rsid w:val="00005715"/>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8">
    <w:name w:val="font_8"/>
    <w:basedOn w:val="Normal"/>
    <w:rsid w:val="00957331"/>
    <w:pPr>
      <w:spacing w:before="100" w:beforeAutospacing="1" w:after="100" w:afterAutospacing="1"/>
    </w:pPr>
    <w:rPr>
      <w:rFonts w:eastAsia="Times New Roman" w:cs="Times New Roman"/>
      <w:szCs w:val="24"/>
      <w:lang w:eastAsia="pt-BR"/>
    </w:rPr>
  </w:style>
  <w:style w:type="paragraph" w:styleId="Cabealho">
    <w:name w:val="header"/>
    <w:basedOn w:val="Normal"/>
    <w:link w:val="CabealhoChar"/>
    <w:uiPriority w:val="99"/>
    <w:unhideWhenUsed/>
    <w:rsid w:val="00BB5F26"/>
    <w:pPr>
      <w:tabs>
        <w:tab w:val="center" w:pos="4252"/>
        <w:tab w:val="right" w:pos="8504"/>
      </w:tabs>
    </w:pPr>
  </w:style>
  <w:style w:type="character" w:customStyle="1" w:styleId="CabealhoChar">
    <w:name w:val="Cabeçalho Char"/>
    <w:basedOn w:val="Fontepargpadro"/>
    <w:link w:val="Cabealho"/>
    <w:uiPriority w:val="99"/>
    <w:rsid w:val="00BB5F26"/>
  </w:style>
  <w:style w:type="paragraph" w:styleId="Rodap">
    <w:name w:val="footer"/>
    <w:basedOn w:val="Normal"/>
    <w:link w:val="RodapChar"/>
    <w:uiPriority w:val="99"/>
    <w:unhideWhenUsed/>
    <w:rsid w:val="00BB5F26"/>
    <w:pPr>
      <w:tabs>
        <w:tab w:val="center" w:pos="4252"/>
        <w:tab w:val="right" w:pos="8504"/>
      </w:tabs>
    </w:pPr>
  </w:style>
  <w:style w:type="character" w:customStyle="1" w:styleId="RodapChar">
    <w:name w:val="Rodapé Char"/>
    <w:basedOn w:val="Fontepargpadro"/>
    <w:link w:val="Rodap"/>
    <w:uiPriority w:val="99"/>
    <w:rsid w:val="00BB5F26"/>
  </w:style>
  <w:style w:type="paragraph" w:styleId="Textodebalo">
    <w:name w:val="Balloon Text"/>
    <w:basedOn w:val="Normal"/>
    <w:link w:val="TextodebaloChar"/>
    <w:uiPriority w:val="99"/>
    <w:semiHidden/>
    <w:unhideWhenUsed/>
    <w:rsid w:val="00005715"/>
    <w:rPr>
      <w:rFonts w:ascii="Tahoma" w:hAnsi="Tahoma" w:cs="Tahoma"/>
      <w:sz w:val="16"/>
      <w:szCs w:val="16"/>
    </w:rPr>
  </w:style>
  <w:style w:type="character" w:customStyle="1" w:styleId="TextodebaloChar">
    <w:name w:val="Texto de balão Char"/>
    <w:basedOn w:val="Fontepargpadro"/>
    <w:link w:val="Textodebalo"/>
    <w:uiPriority w:val="99"/>
    <w:semiHidden/>
    <w:rsid w:val="00005715"/>
    <w:rPr>
      <w:rFonts w:ascii="Tahoma" w:hAnsi="Tahoma" w:cs="Tahoma"/>
      <w:sz w:val="16"/>
      <w:szCs w:val="16"/>
    </w:rPr>
  </w:style>
  <w:style w:type="character" w:customStyle="1" w:styleId="Ttulo1Char">
    <w:name w:val="Título 1 Char"/>
    <w:basedOn w:val="Fontepargpadro"/>
    <w:link w:val="Ttulo1"/>
    <w:uiPriority w:val="9"/>
    <w:rsid w:val="00005715"/>
    <w:rPr>
      <w:rFonts w:eastAsia="Times New Roman" w:cs="Times New Roman"/>
      <w:b/>
      <w:bCs/>
      <w:caps/>
      <w:szCs w:val="28"/>
    </w:rPr>
  </w:style>
  <w:style w:type="character" w:customStyle="1" w:styleId="Ttulo2Char">
    <w:name w:val="Título 2 Char"/>
    <w:basedOn w:val="Fontepargpadro"/>
    <w:link w:val="Ttulo2"/>
    <w:uiPriority w:val="9"/>
    <w:rsid w:val="00005715"/>
    <w:rPr>
      <w:rFonts w:eastAsia="Times New Roman" w:cs="Times New Roman"/>
      <w:b/>
      <w:bCs/>
      <w:szCs w:val="26"/>
    </w:rPr>
  </w:style>
  <w:style w:type="character" w:customStyle="1" w:styleId="Ttulo3Char">
    <w:name w:val="Título 3 Char"/>
    <w:basedOn w:val="Fontepargpadro"/>
    <w:link w:val="Ttulo3"/>
    <w:uiPriority w:val="9"/>
    <w:rsid w:val="00005715"/>
    <w:rPr>
      <w:rFonts w:eastAsia="Times New Roman" w:cs="Times New Roman"/>
      <w:bCs/>
      <w:szCs w:val="24"/>
    </w:rPr>
  </w:style>
  <w:style w:type="character" w:customStyle="1" w:styleId="Ttulo4Char">
    <w:name w:val="Título 4 Char"/>
    <w:basedOn w:val="Fontepargpadro"/>
    <w:link w:val="Ttulo4"/>
    <w:uiPriority w:val="9"/>
    <w:semiHidden/>
    <w:rsid w:val="00005715"/>
    <w:rPr>
      <w:rFonts w:ascii="Cambria" w:eastAsia="Times New Roman" w:hAnsi="Cambria" w:cs="Times New Roman"/>
      <w:b/>
      <w:bCs/>
      <w:i/>
      <w:iCs/>
      <w:color w:val="4F81BD"/>
      <w:szCs w:val="24"/>
    </w:rPr>
  </w:style>
  <w:style w:type="character" w:customStyle="1" w:styleId="Ttulo5Char">
    <w:name w:val="Título 5 Char"/>
    <w:basedOn w:val="Fontepargpadro"/>
    <w:link w:val="Ttulo5"/>
    <w:uiPriority w:val="9"/>
    <w:semiHidden/>
    <w:rsid w:val="00005715"/>
    <w:rPr>
      <w:rFonts w:ascii="Cambria" w:eastAsia="Times New Roman" w:hAnsi="Cambria" w:cs="Times New Roman"/>
      <w:color w:val="243F60"/>
      <w:szCs w:val="24"/>
    </w:rPr>
  </w:style>
  <w:style w:type="character" w:customStyle="1" w:styleId="Ttulo6Char">
    <w:name w:val="Título 6 Char"/>
    <w:basedOn w:val="Fontepargpadro"/>
    <w:link w:val="Ttulo6"/>
    <w:uiPriority w:val="9"/>
    <w:semiHidden/>
    <w:rsid w:val="00005715"/>
    <w:rPr>
      <w:rFonts w:ascii="Cambria" w:eastAsia="Times New Roman" w:hAnsi="Cambria" w:cs="Times New Roman"/>
      <w:i/>
      <w:iCs/>
      <w:color w:val="243F60"/>
      <w:szCs w:val="24"/>
    </w:rPr>
  </w:style>
  <w:style w:type="character" w:customStyle="1" w:styleId="Ttulo7Char">
    <w:name w:val="Título 7 Char"/>
    <w:basedOn w:val="Fontepargpadro"/>
    <w:link w:val="Ttulo7"/>
    <w:uiPriority w:val="9"/>
    <w:semiHidden/>
    <w:rsid w:val="00005715"/>
    <w:rPr>
      <w:rFonts w:ascii="Cambria" w:eastAsia="Times New Roman" w:hAnsi="Cambria" w:cs="Times New Roman"/>
      <w:i/>
      <w:iCs/>
      <w:color w:val="404040"/>
      <w:szCs w:val="24"/>
    </w:rPr>
  </w:style>
  <w:style w:type="character" w:customStyle="1" w:styleId="Ttulo8Char">
    <w:name w:val="Título 8 Char"/>
    <w:basedOn w:val="Fontepargpadro"/>
    <w:link w:val="Ttulo8"/>
    <w:uiPriority w:val="9"/>
    <w:semiHidden/>
    <w:rsid w:val="00005715"/>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005715"/>
    <w:rPr>
      <w:rFonts w:ascii="Cambria" w:eastAsia="Times New Roman" w:hAnsi="Cambria" w:cs="Times New Roman"/>
      <w:i/>
      <w:iCs/>
      <w:color w:val="404040"/>
      <w:sz w:val="20"/>
      <w:szCs w:val="20"/>
    </w:rPr>
  </w:style>
  <w:style w:type="paragraph" w:styleId="PargrafodaLista">
    <w:name w:val="List Paragraph"/>
    <w:basedOn w:val="Normal"/>
    <w:uiPriority w:val="34"/>
    <w:qFormat/>
    <w:rsid w:val="00005715"/>
    <w:pPr>
      <w:ind w:left="720" w:firstLine="567"/>
      <w:contextualSpacing/>
    </w:pPr>
    <w:rPr>
      <w:rFonts w:eastAsia="Calibri" w:cs="Times New Roman"/>
      <w:szCs w:val="24"/>
    </w:rPr>
  </w:style>
  <w:style w:type="paragraph" w:styleId="NormalWeb">
    <w:name w:val="Normal (Web)"/>
    <w:basedOn w:val="Normal"/>
    <w:uiPriority w:val="99"/>
    <w:semiHidden/>
    <w:unhideWhenUsed/>
    <w:rsid w:val="00005715"/>
    <w:pPr>
      <w:spacing w:before="100" w:beforeAutospacing="1" w:after="100" w:afterAutospacing="1"/>
    </w:pPr>
    <w:rPr>
      <w:rFonts w:eastAsia="Times New Roman" w:cs="Times New Roman"/>
      <w:szCs w:val="24"/>
      <w:lang w:eastAsia="pt-BR"/>
    </w:rPr>
  </w:style>
  <w:style w:type="character" w:styleId="Hyperlink">
    <w:name w:val="Hyperlink"/>
    <w:uiPriority w:val="99"/>
    <w:unhideWhenUsed/>
    <w:rsid w:val="00005715"/>
    <w:rPr>
      <w:color w:val="0000FF"/>
      <w:u w:val="single"/>
    </w:rPr>
  </w:style>
  <w:style w:type="table" w:styleId="Tabelacomgrade">
    <w:name w:val="Table Grid"/>
    <w:basedOn w:val="Tabelanormal"/>
    <w:uiPriority w:val="39"/>
    <w:rsid w:val="00005715"/>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005715"/>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3">
    <w:name w:val="Medium List 2 Accent 3"/>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dia2">
    <w:name w:val="Medium List 2"/>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dia2-nfase4">
    <w:name w:val="Medium List 2 Accent 4"/>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Colorida-nfase6">
    <w:name w:val="Colorful List Accent 6"/>
    <w:basedOn w:val="Tabelanormal"/>
    <w:uiPriority w:val="72"/>
    <w:rsid w:val="00005715"/>
    <w:rPr>
      <w:rFonts w:ascii="Calibri" w:eastAsia="Calibri" w:hAnsi="Calibri" w:cs="Times New Roman"/>
      <w:color w:val="000000"/>
      <w:sz w:val="20"/>
      <w:szCs w:val="20"/>
      <w:lang w:eastAsia="pt-B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mentoClaro-nfase3">
    <w:name w:val="Light Shading Accent 3"/>
    <w:basedOn w:val="Tabelanormal"/>
    <w:uiPriority w:val="60"/>
    <w:rsid w:val="00005715"/>
    <w:rPr>
      <w:rFonts w:ascii="Calibri" w:eastAsia="Calibri" w:hAnsi="Calibri"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
    <w:name w:val="Light Shading"/>
    <w:basedOn w:val="Tabelanormal"/>
    <w:uiPriority w:val="60"/>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elanormal"/>
    <w:uiPriority w:val="61"/>
    <w:rsid w:val="00005715"/>
    <w:rPr>
      <w:rFonts w:ascii="Calibri" w:eastAsia="Calibri" w:hAnsi="Calibri" w:cs="Times New Roman"/>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dia1">
    <w:name w:val="Medium List 1"/>
    <w:basedOn w:val="Tabelanormal"/>
    <w:uiPriority w:val="65"/>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egenda">
    <w:name w:val="caption"/>
    <w:basedOn w:val="Normal"/>
    <w:next w:val="Normal"/>
    <w:uiPriority w:val="35"/>
    <w:unhideWhenUsed/>
    <w:qFormat/>
    <w:rsid w:val="00005715"/>
    <w:pPr>
      <w:ind w:firstLine="567"/>
    </w:pPr>
    <w:rPr>
      <w:rFonts w:ascii="Calibri" w:eastAsia="Calibri" w:hAnsi="Calibri" w:cs="Times New Roman"/>
      <w:b/>
      <w:bCs/>
      <w:sz w:val="20"/>
      <w:szCs w:val="20"/>
    </w:rPr>
  </w:style>
  <w:style w:type="character" w:styleId="TextodoEspaoReservado">
    <w:name w:val="Placeholder Text"/>
    <w:basedOn w:val="Fontepargpadro"/>
    <w:uiPriority w:val="99"/>
    <w:semiHidden/>
    <w:rsid w:val="00005715"/>
    <w:rPr>
      <w:color w:val="808080"/>
    </w:rPr>
  </w:style>
  <w:style w:type="paragraph" w:styleId="SemEspaamento">
    <w:name w:val="No Spacing"/>
    <w:uiPriority w:val="1"/>
    <w:qFormat/>
    <w:rsid w:val="00005715"/>
    <w:pPr>
      <w:ind w:firstLine="567"/>
    </w:pPr>
    <w:rPr>
      <w:rFonts w:ascii="Calibri" w:eastAsia="Calibri" w:hAnsi="Calibri" w:cs="Times New Roman"/>
      <w:sz w:val="22"/>
    </w:rPr>
  </w:style>
  <w:style w:type="character" w:styleId="Refdecomentrio">
    <w:name w:val="annotation reference"/>
    <w:basedOn w:val="Fontepargpadro"/>
    <w:uiPriority w:val="99"/>
    <w:semiHidden/>
    <w:unhideWhenUsed/>
    <w:rsid w:val="00660323"/>
    <w:rPr>
      <w:sz w:val="16"/>
      <w:szCs w:val="16"/>
    </w:rPr>
  </w:style>
  <w:style w:type="paragraph" w:styleId="Textodecomentrio">
    <w:name w:val="annotation text"/>
    <w:basedOn w:val="Normal"/>
    <w:link w:val="TextodecomentrioChar"/>
    <w:uiPriority w:val="99"/>
    <w:semiHidden/>
    <w:unhideWhenUsed/>
    <w:rsid w:val="00660323"/>
    <w:rPr>
      <w:sz w:val="20"/>
      <w:szCs w:val="20"/>
    </w:rPr>
  </w:style>
  <w:style w:type="character" w:customStyle="1" w:styleId="TextodecomentrioChar">
    <w:name w:val="Texto de comentário Char"/>
    <w:basedOn w:val="Fontepargpadro"/>
    <w:link w:val="Textodecomentrio"/>
    <w:uiPriority w:val="99"/>
    <w:semiHidden/>
    <w:rsid w:val="00660323"/>
    <w:rPr>
      <w:sz w:val="20"/>
      <w:szCs w:val="20"/>
    </w:rPr>
  </w:style>
  <w:style w:type="paragraph" w:styleId="Assuntodocomentrio">
    <w:name w:val="annotation subject"/>
    <w:basedOn w:val="Textodecomentrio"/>
    <w:next w:val="Textodecomentrio"/>
    <w:link w:val="AssuntodocomentrioChar"/>
    <w:uiPriority w:val="99"/>
    <w:semiHidden/>
    <w:unhideWhenUsed/>
    <w:rsid w:val="00660323"/>
    <w:rPr>
      <w:b/>
      <w:bCs/>
    </w:rPr>
  </w:style>
  <w:style w:type="character" w:customStyle="1" w:styleId="AssuntodocomentrioChar">
    <w:name w:val="Assunto do comentário Char"/>
    <w:basedOn w:val="TextodecomentrioChar"/>
    <w:link w:val="Assuntodocomentrio"/>
    <w:uiPriority w:val="99"/>
    <w:semiHidden/>
    <w:rsid w:val="00660323"/>
    <w:rPr>
      <w:b/>
      <w:bCs/>
      <w:sz w:val="20"/>
      <w:szCs w:val="20"/>
    </w:rPr>
  </w:style>
  <w:style w:type="character" w:customStyle="1" w:styleId="apple-converted-space">
    <w:name w:val="apple-converted-space"/>
    <w:basedOn w:val="Fontepargpadro"/>
    <w:rsid w:val="004416E1"/>
  </w:style>
  <w:style w:type="character" w:customStyle="1" w:styleId="highlighted">
    <w:name w:val="highlighted"/>
    <w:basedOn w:val="Fontepargpadro"/>
    <w:rsid w:val="002A5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5715"/>
    <w:pPr>
      <w:keepNext/>
      <w:keepLines/>
      <w:numPr>
        <w:numId w:val="2"/>
      </w:numPr>
      <w:spacing w:before="120" w:line="360" w:lineRule="auto"/>
      <w:outlineLvl w:val="0"/>
    </w:pPr>
    <w:rPr>
      <w:rFonts w:eastAsia="Times New Roman" w:cs="Times New Roman"/>
      <w:b/>
      <w:bCs/>
      <w:caps/>
      <w:szCs w:val="28"/>
    </w:rPr>
  </w:style>
  <w:style w:type="paragraph" w:styleId="Ttulo2">
    <w:name w:val="heading 2"/>
    <w:basedOn w:val="Normal"/>
    <w:next w:val="Normal"/>
    <w:link w:val="Ttulo2Char"/>
    <w:uiPriority w:val="9"/>
    <w:unhideWhenUsed/>
    <w:qFormat/>
    <w:rsid w:val="00005715"/>
    <w:pPr>
      <w:keepNext/>
      <w:keepLines/>
      <w:numPr>
        <w:ilvl w:val="1"/>
        <w:numId w:val="2"/>
      </w:numPr>
      <w:spacing w:before="200"/>
      <w:outlineLvl w:val="1"/>
    </w:pPr>
    <w:rPr>
      <w:rFonts w:eastAsia="Times New Roman" w:cs="Times New Roman"/>
      <w:b/>
      <w:bCs/>
      <w:szCs w:val="26"/>
    </w:rPr>
  </w:style>
  <w:style w:type="paragraph" w:styleId="Ttulo3">
    <w:name w:val="heading 3"/>
    <w:basedOn w:val="Normal"/>
    <w:next w:val="Normal"/>
    <w:link w:val="Ttulo3Char"/>
    <w:uiPriority w:val="9"/>
    <w:unhideWhenUsed/>
    <w:qFormat/>
    <w:rsid w:val="00005715"/>
    <w:pPr>
      <w:keepNext/>
      <w:keepLines/>
      <w:numPr>
        <w:ilvl w:val="2"/>
        <w:numId w:val="2"/>
      </w:numPr>
      <w:spacing w:before="200"/>
      <w:outlineLvl w:val="2"/>
    </w:pPr>
    <w:rPr>
      <w:rFonts w:eastAsia="Times New Roman" w:cs="Times New Roman"/>
      <w:bCs/>
      <w:szCs w:val="24"/>
    </w:rPr>
  </w:style>
  <w:style w:type="paragraph" w:styleId="Ttulo4">
    <w:name w:val="heading 4"/>
    <w:basedOn w:val="Normal"/>
    <w:next w:val="Normal"/>
    <w:link w:val="Ttulo4Char"/>
    <w:uiPriority w:val="9"/>
    <w:semiHidden/>
    <w:unhideWhenUsed/>
    <w:qFormat/>
    <w:rsid w:val="00005715"/>
    <w:pPr>
      <w:keepNext/>
      <w:keepLines/>
      <w:numPr>
        <w:ilvl w:val="3"/>
        <w:numId w:val="2"/>
      </w:numPr>
      <w:spacing w:before="200"/>
      <w:outlineLvl w:val="3"/>
    </w:pPr>
    <w:rPr>
      <w:rFonts w:ascii="Cambria" w:eastAsia="Times New Roman" w:hAnsi="Cambria" w:cs="Times New Roman"/>
      <w:b/>
      <w:bCs/>
      <w:i/>
      <w:iCs/>
      <w:color w:val="4F81BD"/>
      <w:szCs w:val="24"/>
    </w:rPr>
  </w:style>
  <w:style w:type="paragraph" w:styleId="Ttulo5">
    <w:name w:val="heading 5"/>
    <w:basedOn w:val="Normal"/>
    <w:next w:val="Normal"/>
    <w:link w:val="Ttulo5Char"/>
    <w:uiPriority w:val="9"/>
    <w:semiHidden/>
    <w:unhideWhenUsed/>
    <w:qFormat/>
    <w:rsid w:val="00005715"/>
    <w:pPr>
      <w:keepNext/>
      <w:keepLines/>
      <w:numPr>
        <w:ilvl w:val="4"/>
        <w:numId w:val="2"/>
      </w:numPr>
      <w:spacing w:before="200"/>
      <w:outlineLvl w:val="4"/>
    </w:pPr>
    <w:rPr>
      <w:rFonts w:ascii="Cambria" w:eastAsia="Times New Roman" w:hAnsi="Cambria" w:cs="Times New Roman"/>
      <w:color w:val="243F60"/>
      <w:szCs w:val="24"/>
    </w:rPr>
  </w:style>
  <w:style w:type="paragraph" w:styleId="Ttulo6">
    <w:name w:val="heading 6"/>
    <w:basedOn w:val="Normal"/>
    <w:next w:val="Normal"/>
    <w:link w:val="Ttulo6Char"/>
    <w:uiPriority w:val="9"/>
    <w:semiHidden/>
    <w:unhideWhenUsed/>
    <w:qFormat/>
    <w:rsid w:val="00005715"/>
    <w:pPr>
      <w:keepNext/>
      <w:keepLines/>
      <w:numPr>
        <w:ilvl w:val="5"/>
        <w:numId w:val="2"/>
      </w:numPr>
      <w:spacing w:before="200"/>
      <w:outlineLvl w:val="5"/>
    </w:pPr>
    <w:rPr>
      <w:rFonts w:ascii="Cambria" w:eastAsia="Times New Roman" w:hAnsi="Cambria" w:cs="Times New Roman"/>
      <w:i/>
      <w:iCs/>
      <w:color w:val="243F60"/>
      <w:szCs w:val="24"/>
    </w:rPr>
  </w:style>
  <w:style w:type="paragraph" w:styleId="Ttulo7">
    <w:name w:val="heading 7"/>
    <w:basedOn w:val="Normal"/>
    <w:next w:val="Normal"/>
    <w:link w:val="Ttulo7Char"/>
    <w:uiPriority w:val="9"/>
    <w:semiHidden/>
    <w:unhideWhenUsed/>
    <w:qFormat/>
    <w:rsid w:val="00005715"/>
    <w:pPr>
      <w:keepNext/>
      <w:keepLines/>
      <w:numPr>
        <w:ilvl w:val="6"/>
        <w:numId w:val="2"/>
      </w:numPr>
      <w:spacing w:before="200"/>
      <w:outlineLvl w:val="6"/>
    </w:pPr>
    <w:rPr>
      <w:rFonts w:ascii="Cambria" w:eastAsia="Times New Roman" w:hAnsi="Cambria" w:cs="Times New Roman"/>
      <w:i/>
      <w:iCs/>
      <w:color w:val="404040"/>
      <w:szCs w:val="24"/>
    </w:rPr>
  </w:style>
  <w:style w:type="paragraph" w:styleId="Ttulo8">
    <w:name w:val="heading 8"/>
    <w:basedOn w:val="Normal"/>
    <w:next w:val="Normal"/>
    <w:link w:val="Ttulo8Char"/>
    <w:uiPriority w:val="9"/>
    <w:semiHidden/>
    <w:unhideWhenUsed/>
    <w:qFormat/>
    <w:rsid w:val="00005715"/>
    <w:pPr>
      <w:keepNext/>
      <w:keepLines/>
      <w:numPr>
        <w:ilvl w:val="7"/>
        <w:numId w:val="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semiHidden/>
    <w:unhideWhenUsed/>
    <w:qFormat/>
    <w:rsid w:val="00005715"/>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8">
    <w:name w:val="font_8"/>
    <w:basedOn w:val="Normal"/>
    <w:rsid w:val="00957331"/>
    <w:pPr>
      <w:spacing w:before="100" w:beforeAutospacing="1" w:after="100" w:afterAutospacing="1"/>
    </w:pPr>
    <w:rPr>
      <w:rFonts w:eastAsia="Times New Roman" w:cs="Times New Roman"/>
      <w:szCs w:val="24"/>
      <w:lang w:eastAsia="pt-BR"/>
    </w:rPr>
  </w:style>
  <w:style w:type="paragraph" w:styleId="Cabealho">
    <w:name w:val="header"/>
    <w:basedOn w:val="Normal"/>
    <w:link w:val="CabealhoChar"/>
    <w:uiPriority w:val="99"/>
    <w:unhideWhenUsed/>
    <w:rsid w:val="00BB5F26"/>
    <w:pPr>
      <w:tabs>
        <w:tab w:val="center" w:pos="4252"/>
        <w:tab w:val="right" w:pos="8504"/>
      </w:tabs>
    </w:pPr>
  </w:style>
  <w:style w:type="character" w:customStyle="1" w:styleId="CabealhoChar">
    <w:name w:val="Cabeçalho Char"/>
    <w:basedOn w:val="Fontepargpadro"/>
    <w:link w:val="Cabealho"/>
    <w:uiPriority w:val="99"/>
    <w:rsid w:val="00BB5F26"/>
  </w:style>
  <w:style w:type="paragraph" w:styleId="Rodap">
    <w:name w:val="footer"/>
    <w:basedOn w:val="Normal"/>
    <w:link w:val="RodapChar"/>
    <w:uiPriority w:val="99"/>
    <w:unhideWhenUsed/>
    <w:rsid w:val="00BB5F26"/>
    <w:pPr>
      <w:tabs>
        <w:tab w:val="center" w:pos="4252"/>
        <w:tab w:val="right" w:pos="8504"/>
      </w:tabs>
    </w:pPr>
  </w:style>
  <w:style w:type="character" w:customStyle="1" w:styleId="RodapChar">
    <w:name w:val="Rodapé Char"/>
    <w:basedOn w:val="Fontepargpadro"/>
    <w:link w:val="Rodap"/>
    <w:uiPriority w:val="99"/>
    <w:rsid w:val="00BB5F26"/>
  </w:style>
  <w:style w:type="paragraph" w:styleId="Textodebalo">
    <w:name w:val="Balloon Text"/>
    <w:basedOn w:val="Normal"/>
    <w:link w:val="TextodebaloChar"/>
    <w:uiPriority w:val="99"/>
    <w:semiHidden/>
    <w:unhideWhenUsed/>
    <w:rsid w:val="00005715"/>
    <w:rPr>
      <w:rFonts w:ascii="Tahoma" w:hAnsi="Tahoma" w:cs="Tahoma"/>
      <w:sz w:val="16"/>
      <w:szCs w:val="16"/>
    </w:rPr>
  </w:style>
  <w:style w:type="character" w:customStyle="1" w:styleId="TextodebaloChar">
    <w:name w:val="Texto de balão Char"/>
    <w:basedOn w:val="Fontepargpadro"/>
    <w:link w:val="Textodebalo"/>
    <w:uiPriority w:val="99"/>
    <w:semiHidden/>
    <w:rsid w:val="00005715"/>
    <w:rPr>
      <w:rFonts w:ascii="Tahoma" w:hAnsi="Tahoma" w:cs="Tahoma"/>
      <w:sz w:val="16"/>
      <w:szCs w:val="16"/>
    </w:rPr>
  </w:style>
  <w:style w:type="character" w:customStyle="1" w:styleId="Ttulo1Char">
    <w:name w:val="Título 1 Char"/>
    <w:basedOn w:val="Fontepargpadro"/>
    <w:link w:val="Ttulo1"/>
    <w:uiPriority w:val="9"/>
    <w:rsid w:val="00005715"/>
    <w:rPr>
      <w:rFonts w:eastAsia="Times New Roman" w:cs="Times New Roman"/>
      <w:b/>
      <w:bCs/>
      <w:caps/>
      <w:szCs w:val="28"/>
    </w:rPr>
  </w:style>
  <w:style w:type="character" w:customStyle="1" w:styleId="Ttulo2Char">
    <w:name w:val="Título 2 Char"/>
    <w:basedOn w:val="Fontepargpadro"/>
    <w:link w:val="Ttulo2"/>
    <w:uiPriority w:val="9"/>
    <w:rsid w:val="00005715"/>
    <w:rPr>
      <w:rFonts w:eastAsia="Times New Roman" w:cs="Times New Roman"/>
      <w:b/>
      <w:bCs/>
      <w:szCs w:val="26"/>
    </w:rPr>
  </w:style>
  <w:style w:type="character" w:customStyle="1" w:styleId="Ttulo3Char">
    <w:name w:val="Título 3 Char"/>
    <w:basedOn w:val="Fontepargpadro"/>
    <w:link w:val="Ttulo3"/>
    <w:uiPriority w:val="9"/>
    <w:rsid w:val="00005715"/>
    <w:rPr>
      <w:rFonts w:eastAsia="Times New Roman" w:cs="Times New Roman"/>
      <w:bCs/>
      <w:szCs w:val="24"/>
    </w:rPr>
  </w:style>
  <w:style w:type="character" w:customStyle="1" w:styleId="Ttulo4Char">
    <w:name w:val="Título 4 Char"/>
    <w:basedOn w:val="Fontepargpadro"/>
    <w:link w:val="Ttulo4"/>
    <w:uiPriority w:val="9"/>
    <w:semiHidden/>
    <w:rsid w:val="00005715"/>
    <w:rPr>
      <w:rFonts w:ascii="Cambria" w:eastAsia="Times New Roman" w:hAnsi="Cambria" w:cs="Times New Roman"/>
      <w:b/>
      <w:bCs/>
      <w:i/>
      <w:iCs/>
      <w:color w:val="4F81BD"/>
      <w:szCs w:val="24"/>
    </w:rPr>
  </w:style>
  <w:style w:type="character" w:customStyle="1" w:styleId="Ttulo5Char">
    <w:name w:val="Título 5 Char"/>
    <w:basedOn w:val="Fontepargpadro"/>
    <w:link w:val="Ttulo5"/>
    <w:uiPriority w:val="9"/>
    <w:semiHidden/>
    <w:rsid w:val="00005715"/>
    <w:rPr>
      <w:rFonts w:ascii="Cambria" w:eastAsia="Times New Roman" w:hAnsi="Cambria" w:cs="Times New Roman"/>
      <w:color w:val="243F60"/>
      <w:szCs w:val="24"/>
    </w:rPr>
  </w:style>
  <w:style w:type="character" w:customStyle="1" w:styleId="Ttulo6Char">
    <w:name w:val="Título 6 Char"/>
    <w:basedOn w:val="Fontepargpadro"/>
    <w:link w:val="Ttulo6"/>
    <w:uiPriority w:val="9"/>
    <w:semiHidden/>
    <w:rsid w:val="00005715"/>
    <w:rPr>
      <w:rFonts w:ascii="Cambria" w:eastAsia="Times New Roman" w:hAnsi="Cambria" w:cs="Times New Roman"/>
      <w:i/>
      <w:iCs/>
      <w:color w:val="243F60"/>
      <w:szCs w:val="24"/>
    </w:rPr>
  </w:style>
  <w:style w:type="character" w:customStyle="1" w:styleId="Ttulo7Char">
    <w:name w:val="Título 7 Char"/>
    <w:basedOn w:val="Fontepargpadro"/>
    <w:link w:val="Ttulo7"/>
    <w:uiPriority w:val="9"/>
    <w:semiHidden/>
    <w:rsid w:val="00005715"/>
    <w:rPr>
      <w:rFonts w:ascii="Cambria" w:eastAsia="Times New Roman" w:hAnsi="Cambria" w:cs="Times New Roman"/>
      <w:i/>
      <w:iCs/>
      <w:color w:val="404040"/>
      <w:szCs w:val="24"/>
    </w:rPr>
  </w:style>
  <w:style w:type="character" w:customStyle="1" w:styleId="Ttulo8Char">
    <w:name w:val="Título 8 Char"/>
    <w:basedOn w:val="Fontepargpadro"/>
    <w:link w:val="Ttulo8"/>
    <w:uiPriority w:val="9"/>
    <w:semiHidden/>
    <w:rsid w:val="00005715"/>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005715"/>
    <w:rPr>
      <w:rFonts w:ascii="Cambria" w:eastAsia="Times New Roman" w:hAnsi="Cambria" w:cs="Times New Roman"/>
      <w:i/>
      <w:iCs/>
      <w:color w:val="404040"/>
      <w:sz w:val="20"/>
      <w:szCs w:val="20"/>
    </w:rPr>
  </w:style>
  <w:style w:type="paragraph" w:styleId="PargrafodaLista">
    <w:name w:val="List Paragraph"/>
    <w:basedOn w:val="Normal"/>
    <w:uiPriority w:val="34"/>
    <w:qFormat/>
    <w:rsid w:val="00005715"/>
    <w:pPr>
      <w:ind w:left="720" w:firstLine="567"/>
      <w:contextualSpacing/>
    </w:pPr>
    <w:rPr>
      <w:rFonts w:eastAsia="Calibri" w:cs="Times New Roman"/>
      <w:szCs w:val="24"/>
    </w:rPr>
  </w:style>
  <w:style w:type="paragraph" w:styleId="NormalWeb">
    <w:name w:val="Normal (Web)"/>
    <w:basedOn w:val="Normal"/>
    <w:uiPriority w:val="99"/>
    <w:semiHidden/>
    <w:unhideWhenUsed/>
    <w:rsid w:val="00005715"/>
    <w:pPr>
      <w:spacing w:before="100" w:beforeAutospacing="1" w:after="100" w:afterAutospacing="1"/>
    </w:pPr>
    <w:rPr>
      <w:rFonts w:eastAsia="Times New Roman" w:cs="Times New Roman"/>
      <w:szCs w:val="24"/>
      <w:lang w:eastAsia="pt-BR"/>
    </w:rPr>
  </w:style>
  <w:style w:type="character" w:styleId="Hyperlink">
    <w:name w:val="Hyperlink"/>
    <w:uiPriority w:val="99"/>
    <w:unhideWhenUsed/>
    <w:rsid w:val="00005715"/>
    <w:rPr>
      <w:color w:val="0000FF"/>
      <w:u w:val="single"/>
    </w:rPr>
  </w:style>
  <w:style w:type="table" w:styleId="Tabelacomgrade">
    <w:name w:val="Table Grid"/>
    <w:basedOn w:val="Tabelanormal"/>
    <w:uiPriority w:val="39"/>
    <w:rsid w:val="00005715"/>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005715"/>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3">
    <w:name w:val="Medium List 2 Accent 3"/>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dia2">
    <w:name w:val="Medium List 2"/>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dia2-nfase4">
    <w:name w:val="Medium List 2 Accent 4"/>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Colorida-nfase6">
    <w:name w:val="Colorful List Accent 6"/>
    <w:basedOn w:val="Tabelanormal"/>
    <w:uiPriority w:val="72"/>
    <w:rsid w:val="00005715"/>
    <w:rPr>
      <w:rFonts w:ascii="Calibri" w:eastAsia="Calibri" w:hAnsi="Calibri" w:cs="Times New Roman"/>
      <w:color w:val="000000"/>
      <w:sz w:val="20"/>
      <w:szCs w:val="20"/>
      <w:lang w:eastAsia="pt-B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mentoClaro-nfase3">
    <w:name w:val="Light Shading Accent 3"/>
    <w:basedOn w:val="Tabelanormal"/>
    <w:uiPriority w:val="60"/>
    <w:rsid w:val="00005715"/>
    <w:rPr>
      <w:rFonts w:ascii="Calibri" w:eastAsia="Calibri" w:hAnsi="Calibri"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
    <w:name w:val="Light Shading"/>
    <w:basedOn w:val="Tabelanormal"/>
    <w:uiPriority w:val="60"/>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elanormal"/>
    <w:uiPriority w:val="61"/>
    <w:rsid w:val="00005715"/>
    <w:rPr>
      <w:rFonts w:ascii="Calibri" w:eastAsia="Calibri" w:hAnsi="Calibri" w:cs="Times New Roman"/>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dia1">
    <w:name w:val="Medium List 1"/>
    <w:basedOn w:val="Tabelanormal"/>
    <w:uiPriority w:val="65"/>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egenda">
    <w:name w:val="caption"/>
    <w:basedOn w:val="Normal"/>
    <w:next w:val="Normal"/>
    <w:uiPriority w:val="35"/>
    <w:unhideWhenUsed/>
    <w:qFormat/>
    <w:rsid w:val="00005715"/>
    <w:pPr>
      <w:ind w:firstLine="567"/>
    </w:pPr>
    <w:rPr>
      <w:rFonts w:ascii="Calibri" w:eastAsia="Calibri" w:hAnsi="Calibri" w:cs="Times New Roman"/>
      <w:b/>
      <w:bCs/>
      <w:sz w:val="20"/>
      <w:szCs w:val="20"/>
    </w:rPr>
  </w:style>
  <w:style w:type="character" w:styleId="TextodoEspaoReservado">
    <w:name w:val="Placeholder Text"/>
    <w:basedOn w:val="Fontepargpadro"/>
    <w:uiPriority w:val="99"/>
    <w:semiHidden/>
    <w:rsid w:val="00005715"/>
    <w:rPr>
      <w:color w:val="808080"/>
    </w:rPr>
  </w:style>
  <w:style w:type="paragraph" w:styleId="SemEspaamento">
    <w:name w:val="No Spacing"/>
    <w:uiPriority w:val="1"/>
    <w:qFormat/>
    <w:rsid w:val="00005715"/>
    <w:pPr>
      <w:ind w:firstLine="567"/>
    </w:pPr>
    <w:rPr>
      <w:rFonts w:ascii="Calibri" w:eastAsia="Calibri" w:hAnsi="Calibri" w:cs="Times New Roman"/>
      <w:sz w:val="22"/>
    </w:rPr>
  </w:style>
  <w:style w:type="character" w:styleId="Refdecomentrio">
    <w:name w:val="annotation reference"/>
    <w:basedOn w:val="Fontepargpadro"/>
    <w:uiPriority w:val="99"/>
    <w:semiHidden/>
    <w:unhideWhenUsed/>
    <w:rsid w:val="00660323"/>
    <w:rPr>
      <w:sz w:val="16"/>
      <w:szCs w:val="16"/>
    </w:rPr>
  </w:style>
  <w:style w:type="paragraph" w:styleId="Textodecomentrio">
    <w:name w:val="annotation text"/>
    <w:basedOn w:val="Normal"/>
    <w:link w:val="TextodecomentrioChar"/>
    <w:uiPriority w:val="99"/>
    <w:semiHidden/>
    <w:unhideWhenUsed/>
    <w:rsid w:val="00660323"/>
    <w:rPr>
      <w:sz w:val="20"/>
      <w:szCs w:val="20"/>
    </w:rPr>
  </w:style>
  <w:style w:type="character" w:customStyle="1" w:styleId="TextodecomentrioChar">
    <w:name w:val="Texto de comentário Char"/>
    <w:basedOn w:val="Fontepargpadro"/>
    <w:link w:val="Textodecomentrio"/>
    <w:uiPriority w:val="99"/>
    <w:semiHidden/>
    <w:rsid w:val="00660323"/>
    <w:rPr>
      <w:sz w:val="20"/>
      <w:szCs w:val="20"/>
    </w:rPr>
  </w:style>
  <w:style w:type="paragraph" w:styleId="Assuntodocomentrio">
    <w:name w:val="annotation subject"/>
    <w:basedOn w:val="Textodecomentrio"/>
    <w:next w:val="Textodecomentrio"/>
    <w:link w:val="AssuntodocomentrioChar"/>
    <w:uiPriority w:val="99"/>
    <w:semiHidden/>
    <w:unhideWhenUsed/>
    <w:rsid w:val="00660323"/>
    <w:rPr>
      <w:b/>
      <w:bCs/>
    </w:rPr>
  </w:style>
  <w:style w:type="character" w:customStyle="1" w:styleId="AssuntodocomentrioChar">
    <w:name w:val="Assunto do comentário Char"/>
    <w:basedOn w:val="TextodecomentrioChar"/>
    <w:link w:val="Assuntodocomentrio"/>
    <w:uiPriority w:val="99"/>
    <w:semiHidden/>
    <w:rsid w:val="00660323"/>
    <w:rPr>
      <w:b/>
      <w:bCs/>
      <w:sz w:val="20"/>
      <w:szCs w:val="20"/>
    </w:rPr>
  </w:style>
  <w:style w:type="character" w:customStyle="1" w:styleId="apple-converted-space">
    <w:name w:val="apple-converted-space"/>
    <w:basedOn w:val="Fontepargpadro"/>
    <w:rsid w:val="004416E1"/>
  </w:style>
  <w:style w:type="character" w:customStyle="1" w:styleId="highlighted">
    <w:name w:val="highlighted"/>
    <w:basedOn w:val="Fontepargpadro"/>
    <w:rsid w:val="002A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30143">
      <w:bodyDiv w:val="1"/>
      <w:marLeft w:val="0"/>
      <w:marRight w:val="0"/>
      <w:marTop w:val="0"/>
      <w:marBottom w:val="0"/>
      <w:divBdr>
        <w:top w:val="none" w:sz="0" w:space="0" w:color="auto"/>
        <w:left w:val="none" w:sz="0" w:space="0" w:color="auto"/>
        <w:bottom w:val="none" w:sz="0" w:space="0" w:color="auto"/>
        <w:right w:val="none" w:sz="0" w:space="0" w:color="auto"/>
      </w:divBdr>
    </w:div>
    <w:div w:id="18981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Planilha1!$B$1</c:f>
              <c:strCache>
                <c:ptCount val="1"/>
                <c:pt idx="0">
                  <c:v>Série 1</c:v>
                </c:pt>
              </c:strCache>
            </c:strRef>
          </c:tx>
          <c:spPr>
            <a:solidFill>
              <a:schemeClr val="dk1">
                <a:tint val="885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3EC0-435C-B9D2-50B2B3D5CE94}"/>
              </c:ext>
            </c:extLst>
          </c:dPt>
          <c:dPt>
            <c:idx val="1"/>
            <c:invertIfNegative val="0"/>
            <c:bubble3D val="0"/>
            <c:extLst xmlns:c16r2="http://schemas.microsoft.com/office/drawing/2015/06/chart">
              <c:ext xmlns:c16="http://schemas.microsoft.com/office/drawing/2014/chart" uri="{C3380CC4-5D6E-409C-BE32-E72D297353CC}">
                <c16:uniqueId val="{00000003-3EC0-435C-B9D2-50B2B3D5CE94}"/>
              </c:ext>
            </c:extLst>
          </c:dPt>
          <c:dPt>
            <c:idx val="2"/>
            <c:invertIfNegative val="0"/>
            <c:bubble3D val="0"/>
            <c:extLst xmlns:c16r2="http://schemas.microsoft.com/office/drawing/2015/06/chart">
              <c:ext xmlns:c16="http://schemas.microsoft.com/office/drawing/2014/chart" uri="{C3380CC4-5D6E-409C-BE32-E72D297353CC}">
                <c16:uniqueId val="{00000004-3EC0-435C-B9D2-50B2B3D5CE9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Planilha1!$A$2:$A$4</c:f>
              <c:strCache>
                <c:ptCount val="3"/>
                <c:pt idx="0">
                  <c:v>Autofinanciamento</c:v>
                </c:pt>
                <c:pt idx="1">
                  <c:v>Endividamento</c:v>
                </c:pt>
                <c:pt idx="2">
                  <c:v>Emissão de ações</c:v>
                </c:pt>
              </c:strCache>
            </c:strRef>
          </c:cat>
          <c:val>
            <c:numRef>
              <c:f>Planilha1!$B$2:$B$4</c:f>
              <c:numCache>
                <c:formatCode>General</c:formatCode>
                <c:ptCount val="3"/>
                <c:pt idx="0">
                  <c:v>51</c:v>
                </c:pt>
                <c:pt idx="1">
                  <c:v>49</c:v>
                </c:pt>
                <c:pt idx="2">
                  <c:v>0</c:v>
                </c:pt>
              </c:numCache>
            </c:numRef>
          </c:val>
          <c:extLst xmlns:c16r2="http://schemas.microsoft.com/office/drawing/2015/06/chart">
            <c:ext xmlns:c16="http://schemas.microsoft.com/office/drawing/2014/chart" uri="{C3380CC4-5D6E-409C-BE32-E72D297353CC}">
              <c16:uniqueId val="{00000005-3EC0-435C-B9D2-50B2B3D5CE94}"/>
            </c:ext>
          </c:extLst>
        </c:ser>
        <c:dLbls>
          <c:showLegendKey val="0"/>
          <c:showVal val="0"/>
          <c:showCatName val="0"/>
          <c:showSerName val="0"/>
          <c:showPercent val="0"/>
          <c:showBubbleSize val="0"/>
        </c:dLbls>
        <c:gapWidth val="219"/>
        <c:overlap val="-27"/>
        <c:axId val="164795136"/>
        <c:axId val="164796672"/>
      </c:barChart>
      <c:catAx>
        <c:axId val="1647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64796672"/>
        <c:crosses val="autoZero"/>
        <c:auto val="1"/>
        <c:lblAlgn val="ctr"/>
        <c:lblOffset val="100"/>
        <c:noMultiLvlLbl val="0"/>
      </c:catAx>
      <c:valAx>
        <c:axId val="16479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6479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Planilha1!$B$1</c:f>
              <c:strCache>
                <c:ptCount val="1"/>
                <c:pt idx="0">
                  <c:v>Coluna1</c:v>
                </c:pt>
              </c:strCache>
            </c:strRef>
          </c:tx>
          <c:spPr>
            <a:solidFill>
              <a:schemeClr val="dk1">
                <a:tint val="885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150F-4C38-96AB-F2E9FEDC6989}"/>
              </c:ext>
            </c:extLst>
          </c:dPt>
          <c:dPt>
            <c:idx val="1"/>
            <c:invertIfNegative val="0"/>
            <c:bubble3D val="0"/>
            <c:extLst xmlns:c16r2="http://schemas.microsoft.com/office/drawing/2015/06/chart">
              <c:ext xmlns:c16="http://schemas.microsoft.com/office/drawing/2014/chart" uri="{C3380CC4-5D6E-409C-BE32-E72D297353CC}">
                <c16:uniqueId val="{00000003-150F-4C38-96AB-F2E9FEDC6989}"/>
              </c:ext>
            </c:extLst>
          </c:dPt>
          <c:dPt>
            <c:idx val="2"/>
            <c:invertIfNegative val="0"/>
            <c:bubble3D val="0"/>
            <c:extLst xmlns:c16r2="http://schemas.microsoft.com/office/drawing/2015/06/chart">
              <c:ext xmlns:c16="http://schemas.microsoft.com/office/drawing/2014/chart" uri="{C3380CC4-5D6E-409C-BE32-E72D297353CC}">
                <c16:uniqueId val="{00000005-150F-4C38-96AB-F2E9FEDC698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Planilha1!$A$2:$A$4</c:f>
              <c:strCache>
                <c:ptCount val="3"/>
                <c:pt idx="0">
                  <c:v>Autofinanciamento</c:v>
                </c:pt>
                <c:pt idx="1">
                  <c:v>Endividamento</c:v>
                </c:pt>
                <c:pt idx="2">
                  <c:v>Emissão de ações</c:v>
                </c:pt>
              </c:strCache>
            </c:strRef>
          </c:cat>
          <c:val>
            <c:numRef>
              <c:f>Planilha1!$B$2:$B$4</c:f>
              <c:numCache>
                <c:formatCode>General</c:formatCode>
                <c:ptCount val="3"/>
                <c:pt idx="0">
                  <c:v>13</c:v>
                </c:pt>
                <c:pt idx="1">
                  <c:v>51</c:v>
                </c:pt>
                <c:pt idx="2">
                  <c:v>36</c:v>
                </c:pt>
              </c:numCache>
            </c:numRef>
          </c:val>
          <c:extLst xmlns:c16r2="http://schemas.microsoft.com/office/drawing/2015/06/chart">
            <c:ext xmlns:c16="http://schemas.microsoft.com/office/drawing/2014/chart" uri="{C3380CC4-5D6E-409C-BE32-E72D297353CC}">
              <c16:uniqueId val="{00000006-150F-4C38-96AB-F2E9FEDC6989}"/>
            </c:ext>
          </c:extLst>
        </c:ser>
        <c:dLbls>
          <c:showLegendKey val="0"/>
          <c:showVal val="0"/>
          <c:showCatName val="0"/>
          <c:showSerName val="0"/>
          <c:showPercent val="0"/>
          <c:showBubbleSize val="0"/>
        </c:dLbls>
        <c:gapWidth val="219"/>
        <c:overlap val="-27"/>
        <c:axId val="142152064"/>
        <c:axId val="142153600"/>
      </c:barChart>
      <c:catAx>
        <c:axId val="14215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42153600"/>
        <c:crosses val="autoZero"/>
        <c:auto val="1"/>
        <c:lblAlgn val="ctr"/>
        <c:lblOffset val="100"/>
        <c:noMultiLvlLbl val="0"/>
      </c:catAx>
      <c:valAx>
        <c:axId val="14215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4215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Planilha1!$B$1</c:f>
              <c:strCache>
                <c:ptCount val="1"/>
                <c:pt idx="0">
                  <c:v>Autofinanciamento</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Planilha1!$B$2:$B$6</c:f>
              <c:numCache>
                <c:formatCode>General</c:formatCode>
                <c:ptCount val="5"/>
                <c:pt idx="0">
                  <c:v>51</c:v>
                </c:pt>
                <c:pt idx="1">
                  <c:v>54</c:v>
                </c:pt>
                <c:pt idx="2">
                  <c:v>55.5</c:v>
                </c:pt>
                <c:pt idx="3">
                  <c:v>25</c:v>
                </c:pt>
                <c:pt idx="4">
                  <c:v>56.4</c:v>
                </c:pt>
              </c:numCache>
            </c:numRef>
          </c:val>
          <c:extLst xmlns:c16r2="http://schemas.microsoft.com/office/drawing/2015/06/chart">
            <c:ext xmlns:c16="http://schemas.microsoft.com/office/drawing/2014/chart" uri="{C3380CC4-5D6E-409C-BE32-E72D297353CC}">
              <c16:uniqueId val="{00000000-6CFE-4DEA-A4FC-AC6C6C36DAD4}"/>
            </c:ext>
          </c:extLst>
        </c:ser>
        <c:ser>
          <c:idx val="1"/>
          <c:order val="1"/>
          <c:tx>
            <c:strRef>
              <c:f>Planilha1!$C$1</c:f>
              <c:strCache>
                <c:ptCount val="1"/>
                <c:pt idx="0">
                  <c:v>Endividamento</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Planilha1!$C$2:$C$6</c:f>
              <c:numCache>
                <c:formatCode>General</c:formatCode>
                <c:ptCount val="5"/>
                <c:pt idx="0">
                  <c:v>49</c:v>
                </c:pt>
                <c:pt idx="1">
                  <c:v>25</c:v>
                </c:pt>
                <c:pt idx="2">
                  <c:v>33</c:v>
                </c:pt>
                <c:pt idx="3">
                  <c:v>27</c:v>
                </c:pt>
                <c:pt idx="4">
                  <c:v>7.7</c:v>
                </c:pt>
              </c:numCache>
            </c:numRef>
          </c:val>
          <c:extLst xmlns:c16r2="http://schemas.microsoft.com/office/drawing/2015/06/chart">
            <c:ext xmlns:c16="http://schemas.microsoft.com/office/drawing/2014/chart" uri="{C3380CC4-5D6E-409C-BE32-E72D297353CC}">
              <c16:uniqueId val="{00000001-6CFE-4DEA-A4FC-AC6C6C36DAD4}"/>
            </c:ext>
          </c:extLst>
        </c:ser>
        <c:ser>
          <c:idx val="2"/>
          <c:order val="2"/>
          <c:tx>
            <c:strRef>
              <c:f>Planilha1!$D$1</c:f>
              <c:strCache>
                <c:ptCount val="1"/>
                <c:pt idx="0">
                  <c:v>Emissão de Ações</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Planilha1!$D$2:$D$6</c:f>
              <c:numCache>
                <c:formatCode>General</c:formatCode>
                <c:ptCount val="5"/>
                <c:pt idx="0">
                  <c:v>0</c:v>
                </c:pt>
                <c:pt idx="1">
                  <c:v>21</c:v>
                </c:pt>
                <c:pt idx="2">
                  <c:v>11.5</c:v>
                </c:pt>
                <c:pt idx="3">
                  <c:v>48</c:v>
                </c:pt>
                <c:pt idx="4">
                  <c:v>36</c:v>
                </c:pt>
              </c:numCache>
            </c:numRef>
          </c:val>
          <c:extLst xmlns:c16r2="http://schemas.microsoft.com/office/drawing/2015/06/chart">
            <c:ext xmlns:c16="http://schemas.microsoft.com/office/drawing/2014/chart" uri="{C3380CC4-5D6E-409C-BE32-E72D297353CC}">
              <c16:uniqueId val="{00000002-6CFE-4DEA-A4FC-AC6C6C36DAD4}"/>
            </c:ext>
          </c:extLst>
        </c:ser>
        <c:dLbls>
          <c:showLegendKey val="0"/>
          <c:showVal val="0"/>
          <c:showCatName val="0"/>
          <c:showSerName val="0"/>
          <c:showPercent val="0"/>
          <c:showBubbleSize val="0"/>
        </c:dLbls>
        <c:gapWidth val="219"/>
        <c:overlap val="-27"/>
        <c:axId val="142177408"/>
        <c:axId val="142178944"/>
      </c:barChart>
      <c:catAx>
        <c:axId val="14217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42178944"/>
        <c:crosses val="autoZero"/>
        <c:auto val="1"/>
        <c:lblAlgn val="ctr"/>
        <c:lblOffset val="100"/>
        <c:noMultiLvlLbl val="0"/>
      </c:catAx>
      <c:valAx>
        <c:axId val="14217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4217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0043-BD37-4B75-BA73-2527CF25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8733</Words>
  <Characters>47160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GEST-HP300-83</dc:creator>
  <cp:lastModifiedBy>Tadeu</cp:lastModifiedBy>
  <cp:revision>2</cp:revision>
  <cp:lastPrinted>2017-05-18T18:36:00Z</cp:lastPrinted>
  <dcterms:created xsi:type="dcterms:W3CDTF">2017-05-23T18:38:00Z</dcterms:created>
  <dcterms:modified xsi:type="dcterms:W3CDTF">2017-05-23T18:38:00Z</dcterms:modified>
</cp:coreProperties>
</file>