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fontTable.xml" ContentType="application/vnd.openxmlformats-officedocument.wordprocessingml.fontTable+xml"/>
  <Override PartName="/word/comments.xml" ContentType="application/vnd.openxmlformats-officedocument.wordprocessingml.comments+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media/image2.png" ContentType="image/png"/>
  <Override PartName="/word/media/image1.png" ContentType="image/png"/>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jc w:val="center"/>
        <w:rPr>
          <w:rFonts w:eastAsia="Times New Roman" w:cs="Times New Roman" w:ascii="Times New Roman" w:hAnsi="Times New Roman"/>
          <w:b/>
          <w:iCs/>
          <w:sz w:val="24"/>
          <w:szCs w:val="24"/>
          <w:lang w:val="pt-BR"/>
        </w:rPr>
      </w:pPr>
      <w:r>
        <w:rPr>
          <w:rFonts w:eastAsia="Times New Roman" w:cs="Times New Roman" w:ascii="Times New Roman" w:hAnsi="Times New Roman"/>
          <w:b/>
          <w:iCs/>
          <w:sz w:val="24"/>
          <w:szCs w:val="24"/>
          <w:lang w:val="pt-BR"/>
        </w:rPr>
        <w:t>O GOVERNO FHC E O GOVERNO LULA: UMA COMPARAÇÃO DAS POLÍTICAS DE DEFESA E DAS POLÍTICAS EXTERNAS</w:t>
      </w:r>
    </w:p>
    <w:p>
      <w:pPr>
        <w:pStyle w:val="Normal"/>
        <w:jc w:val="center"/>
        <w:rPr>
          <w:rFonts w:eastAsia="Times New Roman" w:cs="Times New Roman" w:ascii="Times New Roman" w:hAnsi="Times New Roman"/>
          <w:b/>
          <w:iCs/>
          <w:sz w:val="24"/>
          <w:szCs w:val="24"/>
          <w:lang w:val="pt-BR"/>
        </w:rPr>
      </w:pPr>
      <w:r>
        <w:rPr>
          <w:rFonts w:eastAsia="Times New Roman" w:cs="Times New Roman" w:ascii="Times New Roman" w:hAnsi="Times New Roman"/>
          <w:b/>
          <w:iCs/>
          <w:sz w:val="24"/>
          <w:szCs w:val="24"/>
          <w:lang w:val="pt-BR"/>
        </w:rPr>
      </w:r>
    </w:p>
    <w:p>
      <w:pPr>
        <w:pStyle w:val="Normal"/>
        <w:jc w:val="center"/>
        <w:rPr>
          <w:rFonts w:eastAsia="Times New Roman" w:cs="Times New Roman" w:ascii="Times New Roman" w:hAnsi="Times New Roman"/>
          <w:b/>
          <w:iCs/>
          <w:sz w:val="24"/>
          <w:szCs w:val="24"/>
        </w:rPr>
      </w:pPr>
      <w:r>
        <w:rPr>
          <w:rFonts w:eastAsia="Times New Roman" w:cs="Times New Roman" w:ascii="Times New Roman" w:hAnsi="Times New Roman"/>
          <w:b/>
          <w:iCs/>
          <w:sz w:val="24"/>
          <w:szCs w:val="24"/>
        </w:rPr>
        <w:t>THE FHC GOVERNMENT AND THE LULA GOVERNMENT: A COMPARISON OF THE DEFENCE POLICIES AND THE EXTERNAL POLICIES</w:t>
      </w:r>
    </w:p>
    <w:p>
      <w:pPr>
        <w:pStyle w:val="Normal"/>
        <w:jc w:val="center"/>
        <w:rPr>
          <w:rFonts w:eastAsia="Times New Roman" w:cs="Times New Roman" w:ascii="Times New Roman" w:hAnsi="Times New Roman"/>
          <w:b/>
          <w:iCs/>
          <w:sz w:val="24"/>
          <w:szCs w:val="24"/>
        </w:rPr>
      </w:pPr>
      <w:r>
        <w:rPr>
          <w:rFonts w:eastAsia="Times New Roman" w:cs="Times New Roman" w:ascii="Times New Roman" w:hAnsi="Times New Roman"/>
          <w:b/>
          <w:iCs/>
          <w:sz w:val="24"/>
          <w:szCs w:val="24"/>
        </w:rPr>
      </w:r>
    </w:p>
    <w:p>
      <w:pPr>
        <w:pStyle w:val="Normal"/>
        <w:jc w:val="center"/>
        <w:rPr>
          <w:rFonts w:eastAsia="Times New Roman" w:cs="Times New Roman" w:ascii="Times New Roman" w:hAnsi="Times New Roman"/>
          <w:iCs/>
          <w:sz w:val="24"/>
          <w:szCs w:val="24"/>
        </w:rPr>
      </w:pPr>
      <w:r>
        <w:rPr>
          <w:rFonts w:eastAsia="Times New Roman" w:cs="Times New Roman" w:ascii="Times New Roman" w:hAnsi="Times New Roman"/>
          <w:iCs/>
          <w:sz w:val="24"/>
          <w:szCs w:val="24"/>
        </w:rPr>
        <w:tab/>
      </w:r>
    </w:p>
    <w:p>
      <w:pPr>
        <w:pStyle w:val="Normal"/>
        <w:jc w:val="center"/>
        <w:rPr>
          <w:rFonts w:cs="Times New Roman" w:ascii="Times New Roman" w:hAnsi="Times New Roman"/>
          <w:b/>
          <w:sz w:val="20"/>
          <w:szCs w:val="20"/>
          <w:lang w:val="pt-BR" w:bidi="ar-SA"/>
        </w:rPr>
      </w:pPr>
      <w:r>
        <w:rPr>
          <w:rFonts w:cs="Times New Roman" w:ascii="Times New Roman" w:hAnsi="Times New Roman"/>
          <w:b/>
          <w:sz w:val="20"/>
          <w:szCs w:val="20"/>
          <w:lang w:val="pt-BR" w:bidi="ar-SA"/>
        </w:rPr>
        <w:t>RESUMO</w:t>
      </w:r>
    </w:p>
    <w:p>
      <w:pPr>
        <w:pStyle w:val="Corpodotexto"/>
        <w:spacing w:lineRule="auto" w:line="240" w:before="0" w:after="0"/>
        <w:ind w:left="0" w:right="0" w:firstLine="720"/>
        <w:jc w:val="center"/>
        <w:rPr>
          <w:rFonts w:cs="Times New Roman" w:ascii="Times New Roman" w:hAnsi="Times New Roman"/>
          <w:b/>
          <w:sz w:val="20"/>
          <w:szCs w:val="20"/>
          <w:lang w:val="pt-BR"/>
        </w:rPr>
      </w:pPr>
      <w:r>
        <w:rPr>
          <w:rFonts w:cs="Times New Roman" w:ascii="Times New Roman" w:hAnsi="Times New Roman"/>
          <w:b/>
          <w:sz w:val="20"/>
          <w:szCs w:val="20"/>
          <w:lang w:val="pt-BR"/>
        </w:rPr>
      </w:r>
    </w:p>
    <w:p>
      <w:pPr>
        <w:pStyle w:val="Corpodotexto"/>
        <w:spacing w:lineRule="auto" w:line="240" w:before="0" w:after="0"/>
        <w:ind w:left="0" w:right="0" w:firstLine="720"/>
        <w:jc w:val="both"/>
        <w:rPr>
          <w:rFonts w:cs="Times New Roman" w:ascii="Times New Roman" w:hAnsi="Times New Roman"/>
          <w:sz w:val="20"/>
          <w:szCs w:val="20"/>
          <w:lang w:val="pt-BR" w:bidi="ar-SA"/>
        </w:rPr>
      </w:pPr>
      <w:r>
        <w:rPr>
          <w:rFonts w:cs="Times New Roman" w:ascii="Times New Roman" w:hAnsi="Times New Roman"/>
          <w:sz w:val="20"/>
          <w:szCs w:val="20"/>
          <w:lang w:val="pt-BR" w:bidi="ar-SA"/>
        </w:rPr>
        <w:t>O artigo apresenta quais foram os pontos focais e estruturantes das Estratégias Nacionais de Defesa (END), abarcando o período que vai da presidência de Fernando Henrique Cardoso até o final do segundo mandato de Lula da Silva. Durante esses 16 anos, os padrões das END e a própria postura do Estado frente à defesa se alteraram de acordo com a percepção de ameaças. De maneira preliminar, são identificadas as seguintes orientações/marcos no desenvolvimento do assunto: a desestruturação das Forças Armadas e políticas de defesa (década de 90), a criação do Ministério da Defesa (1999), a descoberta do Pré-Sal (2007) e a criação da Estratégia Nacional de Defesa (2008).</w:t>
      </w:r>
    </w:p>
    <w:p>
      <w:pPr>
        <w:pStyle w:val="Corpodotexto"/>
        <w:spacing w:lineRule="auto" w:line="240" w:before="0" w:after="0"/>
        <w:ind w:left="0" w:right="0" w:firstLine="720"/>
        <w:jc w:val="both"/>
        <w:rPr>
          <w:rFonts w:cs="Times New Roman" w:ascii="Times New Roman" w:hAnsi="Times New Roman"/>
          <w:sz w:val="20"/>
          <w:szCs w:val="20"/>
          <w:lang w:val="pt-BR" w:bidi="ar-SA"/>
        </w:rPr>
      </w:pPr>
      <w:r>
        <w:rPr>
          <w:rFonts w:cs="Times New Roman" w:ascii="Times New Roman" w:hAnsi="Times New Roman"/>
          <w:sz w:val="20"/>
          <w:szCs w:val="20"/>
          <w:lang w:val="pt-BR" w:bidi="ar-SA"/>
        </w:rPr>
        <w:t xml:space="preserve">No início dos anos 90, com o advento da onda neoliberal, o Estado brasileiro apresentou uma tendência à desestruturação e sucateamento da máquina pública, com uma consequente diminuição no orçamento de defesa; no período subsequente, sob o comando de FHC, o governo passou a dedicar uma maior preocupação com assuntos securitários e </w:t>
      </w:r>
      <w:r>
        <w:rPr>
          <w:rFonts w:cs="Times New Roman" w:ascii="Times New Roman" w:hAnsi="Times New Roman"/>
          <w:sz w:val="20"/>
          <w:szCs w:val="20"/>
          <w:shd w:fill="FFFFFF" w:val="clear"/>
          <w:lang w:val="pt-BR" w:bidi="ar-SA"/>
        </w:rPr>
        <w:t>procurou estabelecer o controle civil sobre as Forças Armadas</w:t>
      </w:r>
      <w:r>
        <w:rPr>
          <w:rFonts w:cs="Times New Roman" w:ascii="Times New Roman" w:hAnsi="Times New Roman"/>
          <w:sz w:val="20"/>
          <w:szCs w:val="20"/>
          <w:lang w:val="pt-BR" w:bidi="ar-SA"/>
        </w:rPr>
        <w:t>, criando o Ministério da Defesa e a Política Nacional de Defesa. Por fim, com a descoberta do pré-sal em 2007, a criação de políticas voltadas para a defesa do entorno estratégico e dos recursos naturais do Brasil tornou-se crucial. Como resultado, foi lançada a Estratégia de Defesa Nacional, cristalizando os frutos de debates e focando na relevância do Estado brasileiro frente aos novos desafios.</w:t>
      </w:r>
    </w:p>
    <w:p>
      <w:pPr>
        <w:pStyle w:val="Corpodotexto"/>
        <w:spacing w:lineRule="auto" w:line="240" w:before="0" w:after="0"/>
        <w:ind w:left="0" w:right="0" w:firstLine="720"/>
        <w:jc w:val="both"/>
        <w:rPr>
          <w:rFonts w:cs="Times New Roman" w:ascii="Times New Roman" w:hAnsi="Times New Roman"/>
          <w:sz w:val="20"/>
          <w:szCs w:val="20"/>
          <w:lang w:val="pt-BR" w:bidi="ar-SA"/>
        </w:rPr>
      </w:pPr>
      <w:r>
        <w:rPr>
          <w:rFonts w:cs="Times New Roman" w:ascii="Times New Roman" w:hAnsi="Times New Roman"/>
          <w:sz w:val="20"/>
          <w:szCs w:val="20"/>
          <w:lang w:val="pt-BR" w:bidi="ar-SA"/>
        </w:rPr>
      </w:r>
    </w:p>
    <w:p>
      <w:pPr>
        <w:pStyle w:val="Corpodotexto"/>
        <w:spacing w:lineRule="auto" w:line="240"/>
        <w:jc w:val="both"/>
        <w:rPr>
          <w:rFonts w:eastAsia="Times New Roman" w:cs="Times New Roman" w:ascii="Times New Roman" w:hAnsi="Times New Roman"/>
          <w:bCs/>
          <w:sz w:val="20"/>
          <w:szCs w:val="20"/>
          <w:lang w:val="pt-BR" w:bidi="ar-SA"/>
        </w:rPr>
      </w:pPr>
      <w:r>
        <w:rPr>
          <w:rFonts w:eastAsia="Times New Roman" w:cs="Times New Roman" w:ascii="Times New Roman" w:hAnsi="Times New Roman"/>
          <w:b/>
          <w:bCs/>
          <w:sz w:val="20"/>
          <w:szCs w:val="20"/>
          <w:lang w:val="pt-BR" w:bidi="ar-SA"/>
        </w:rPr>
        <w:t>Palavras-Chave</w:t>
      </w:r>
      <w:r>
        <w:rPr>
          <w:rFonts w:eastAsia="Times New Roman" w:cs="Times New Roman" w:ascii="Times New Roman" w:hAnsi="Times New Roman"/>
          <w:bCs/>
          <w:sz w:val="20"/>
          <w:szCs w:val="20"/>
          <w:lang w:val="pt-BR" w:bidi="ar-SA"/>
        </w:rPr>
        <w:t>: Estratégia Nacional de Defesa, Política Nacional de Defesa, Segurança, Lula, Fernando Henrique Cardoso.</w:t>
      </w:r>
    </w:p>
    <w:p>
      <w:pPr>
        <w:pStyle w:val="Corpodotexto"/>
        <w:spacing w:lineRule="auto" w:line="240"/>
        <w:jc w:val="both"/>
        <w:rPr>
          <w:rFonts w:cs="Times New Roman" w:ascii="Times New Roman" w:hAnsi="Times New Roman"/>
          <w:sz w:val="20"/>
          <w:szCs w:val="20"/>
          <w:lang w:val="pt-BR" w:bidi="ar-SA"/>
        </w:rPr>
      </w:pPr>
      <w:r>
        <w:rPr>
          <w:rFonts w:cs="Times New Roman" w:ascii="Times New Roman" w:hAnsi="Times New Roman"/>
          <w:sz w:val="20"/>
          <w:szCs w:val="20"/>
          <w:lang w:val="pt-BR" w:bidi="ar-SA"/>
        </w:rPr>
      </w:r>
    </w:p>
    <w:p>
      <w:pPr>
        <w:pStyle w:val="Corpodotexto"/>
        <w:spacing w:lineRule="auto" w:line="240" w:before="0" w:after="0"/>
        <w:jc w:val="center"/>
        <w:rPr>
          <w:rFonts w:cs="Times New Roman" w:ascii="Times New Roman" w:hAnsi="Times New Roman"/>
          <w:b/>
          <w:sz w:val="20"/>
          <w:szCs w:val="20"/>
          <w:lang w:bidi="ar-SA"/>
        </w:rPr>
      </w:pPr>
      <w:r>
        <w:rPr>
          <w:rFonts w:cs="Times New Roman" w:ascii="Times New Roman" w:hAnsi="Times New Roman"/>
          <w:b/>
          <w:sz w:val="20"/>
          <w:szCs w:val="20"/>
          <w:lang w:bidi="ar-SA"/>
        </w:rPr>
        <w:t xml:space="preserve">ABSTRACT </w:t>
      </w:r>
    </w:p>
    <w:p>
      <w:pPr>
        <w:pStyle w:val="Corpodotexto"/>
        <w:spacing w:lineRule="auto" w:line="240" w:before="0" w:after="0"/>
        <w:jc w:val="center"/>
        <w:rPr>
          <w:rFonts w:cs="Times New Roman" w:ascii="Times New Roman" w:hAnsi="Times New Roman"/>
          <w:b/>
          <w:sz w:val="20"/>
          <w:szCs w:val="20"/>
        </w:rPr>
      </w:pPr>
      <w:r>
        <w:rPr>
          <w:rFonts w:cs="Times New Roman" w:ascii="Times New Roman" w:hAnsi="Times New Roman"/>
          <w:b/>
          <w:sz w:val="20"/>
          <w:szCs w:val="20"/>
        </w:rPr>
      </w:r>
    </w:p>
    <w:p>
      <w:pPr>
        <w:pStyle w:val="Corpodotexto"/>
        <w:spacing w:lineRule="auto" w:line="240" w:before="0" w:after="0"/>
        <w:jc w:val="both"/>
        <w:rPr>
          <w:rFonts w:eastAsia="Times New Roman" w:cs="Times New Roman" w:ascii="Times New Roman" w:hAnsi="Times New Roman"/>
          <w:bCs/>
          <w:sz w:val="20"/>
          <w:szCs w:val="20"/>
          <w:lang w:bidi="ar-SA"/>
        </w:rPr>
      </w:pPr>
      <w:r>
        <w:rPr>
          <w:rFonts w:eastAsia="Times New Roman" w:cs="Times New Roman" w:ascii="Times New Roman" w:hAnsi="Times New Roman"/>
          <w:b/>
          <w:bCs/>
          <w:sz w:val="20"/>
          <w:szCs w:val="20"/>
          <w:lang w:bidi="ar-SA"/>
        </w:rPr>
        <w:tab/>
      </w:r>
      <w:r>
        <w:rPr>
          <w:rFonts w:eastAsia="Times New Roman" w:cs="Times New Roman" w:ascii="Times New Roman" w:hAnsi="Times New Roman"/>
          <w:bCs/>
          <w:sz w:val="20"/>
          <w:szCs w:val="20"/>
          <w:lang w:bidi="ar-SA"/>
        </w:rPr>
        <w:t xml:space="preserve">This paper presents the focal and structuring points of the National Defense Strategies (NDS), covering the period from Fernando Henrique Cardoso's presidency until the end of the second term of Lula da Silva's mandate. During these 16 years, the patterns of the NDS and the State's posture regarding defense changed according to the perception of threats. Preliminarily, the following milestones for the development of the subject can be identified: the dismantling of the Armed Forces and defence policies (in the 1990s), the creation of the Ministry of Defense (1999), the discovery of the pre-salt (2007), and the creation of the National Defense Strategy (2008). In the early 1990s, with the advent of the neo-liberal wave, the Brazilian State showed a tendency of dismantling and scrapping the public administration, consequently decreasing the defence budget. In the subsequent period, under FHC's command, the Government began to devote a greater concern to security issues and sought to establish civilian control over the armed forces, creating the Ministry of Defence and the National Defence Policy. Finally, with the pre-salt discovery in 2007, the creation of policies aimed at protecting Brazilian strategic environment and natural </w:t>
      </w:r>
      <w:r>
        <w:rPr>
          <w:rFonts w:eastAsia="Times New Roman" w:cs="Times New Roman" w:ascii="Times New Roman" w:hAnsi="Times New Roman"/>
          <w:b/>
          <w:bCs/>
          <w:sz w:val="20"/>
          <w:szCs w:val="20"/>
          <w:lang w:bidi="ar-SA"/>
        </w:rPr>
        <w:t>resources</w:t>
      </w:r>
      <w:r>
        <w:rPr>
          <w:rFonts w:eastAsia="Times New Roman" w:cs="Times New Roman" w:ascii="Times New Roman" w:hAnsi="Times New Roman"/>
          <w:bCs/>
          <w:sz w:val="20"/>
          <w:szCs w:val="20"/>
          <w:lang w:bidi="ar-SA"/>
        </w:rPr>
        <w:t xml:space="preserve"> became crucial. As a result, the National Defense Strategy was released, crystallizing the results of debates and renewing the State's focus on the on the new challenges.</w:t>
      </w:r>
    </w:p>
    <w:p>
      <w:pPr>
        <w:pStyle w:val="Corpodotexto"/>
        <w:spacing w:lineRule="auto" w:line="240"/>
        <w:jc w:val="both"/>
        <w:rPr>
          <w:rFonts w:eastAsia="Times New Roman" w:cs="Times New Roman" w:ascii="Times New Roman" w:hAnsi="Times New Roman"/>
          <w:b/>
          <w:bCs/>
          <w:sz w:val="20"/>
          <w:szCs w:val="20"/>
          <w:lang w:bidi="ar-SA"/>
        </w:rPr>
      </w:pPr>
      <w:r>
        <w:rPr>
          <w:rFonts w:eastAsia="Times New Roman" w:cs="Times New Roman" w:ascii="Times New Roman" w:hAnsi="Times New Roman"/>
          <w:b/>
          <w:bCs/>
          <w:sz w:val="20"/>
          <w:szCs w:val="20"/>
          <w:lang w:bidi="ar-SA"/>
        </w:rPr>
      </w:r>
    </w:p>
    <w:p>
      <w:pPr>
        <w:pStyle w:val="Corpodotexto"/>
        <w:spacing w:lineRule="auto" w:line="240"/>
        <w:jc w:val="both"/>
        <w:rPr>
          <w:rFonts w:eastAsia="Times New Roman" w:cs="Times New Roman" w:ascii="Times New Roman" w:hAnsi="Times New Roman"/>
          <w:bCs/>
          <w:sz w:val="20"/>
          <w:szCs w:val="20"/>
          <w:lang w:val="pt-BR" w:bidi="ar-SA"/>
        </w:rPr>
      </w:pPr>
      <w:r>
        <w:rPr>
          <w:rFonts w:eastAsia="Times New Roman" w:cs="Times New Roman" w:ascii="Times New Roman" w:hAnsi="Times New Roman"/>
          <w:b/>
          <w:bCs/>
          <w:sz w:val="20"/>
          <w:szCs w:val="20"/>
          <w:lang w:val="pt-BR" w:bidi="ar-SA"/>
        </w:rPr>
        <w:t>Key Words</w:t>
      </w:r>
      <w:r>
        <w:rPr>
          <w:rFonts w:eastAsia="Times New Roman" w:cs="Times New Roman" w:ascii="Times New Roman" w:hAnsi="Times New Roman"/>
          <w:bCs/>
          <w:sz w:val="20"/>
          <w:szCs w:val="20"/>
          <w:lang w:val="pt-BR" w:bidi="ar-SA"/>
        </w:rPr>
        <w:t>: National Defense Strategy, National Defense Policy, Security, Lula, Fernando Henrique Cardoso.</w:t>
      </w:r>
    </w:p>
    <w:p>
      <w:pPr>
        <w:pStyle w:val="Corpodotexto"/>
        <w:spacing w:lineRule="auto" w:line="240"/>
        <w:jc w:val="both"/>
        <w:rPr>
          <w:rFonts w:cs="Times New Roman" w:ascii="Times New Roman" w:hAnsi="Times New Roman"/>
          <w:sz w:val="20"/>
          <w:szCs w:val="20"/>
          <w:lang w:val="pt-BR"/>
        </w:rPr>
      </w:pPr>
      <w:r>
        <w:rPr>
          <w:rFonts w:cs="Times New Roman" w:ascii="Times New Roman" w:hAnsi="Times New Roman"/>
          <w:sz w:val="20"/>
          <w:szCs w:val="20"/>
          <w:lang w:val="pt-BR"/>
        </w:rPr>
      </w:r>
    </w:p>
    <w:p>
      <w:pPr>
        <w:pStyle w:val="Normal"/>
        <w:rPr>
          <w:rFonts w:eastAsia="Times New Roman" w:cs="Times New Roman" w:ascii="Times New Roman" w:hAnsi="Times New Roman"/>
          <w:sz w:val="24"/>
          <w:szCs w:val="24"/>
          <w:lang w:val="pt-BR"/>
        </w:rPr>
      </w:pPr>
      <w:r>
        <w:rPr>
          <w:rFonts w:eastAsia="Times New Roman" w:cs="Times New Roman" w:ascii="Times New Roman" w:hAnsi="Times New Roman"/>
          <w:sz w:val="24"/>
          <w:szCs w:val="24"/>
          <w:lang w:val="pt-BR"/>
        </w:rPr>
      </w:r>
    </w:p>
    <w:p>
      <w:pPr>
        <w:pStyle w:val="Normal"/>
        <w:spacing w:lineRule="auto" w:line="360"/>
        <w:rPr>
          <w:rFonts w:eastAsia="Times New Roman" w:cs="Times New Roman" w:ascii="Times New Roman" w:hAnsi="Times New Roman"/>
          <w:b/>
          <w:sz w:val="24"/>
          <w:szCs w:val="24"/>
          <w:lang w:val="pt-BR"/>
        </w:rPr>
      </w:pPr>
      <w:r>
        <w:rPr>
          <w:rFonts w:eastAsia="Times New Roman" w:cs="Times New Roman" w:ascii="Times New Roman" w:hAnsi="Times New Roman"/>
          <w:b/>
          <w:sz w:val="24"/>
          <w:szCs w:val="24"/>
          <w:lang w:val="pt-BR"/>
        </w:rPr>
        <w:t>1 Introdução</w:t>
      </w:r>
    </w:p>
    <w:p>
      <w:pPr>
        <w:pStyle w:val="Normal"/>
        <w:spacing w:lineRule="auto" w:line="360"/>
        <w:ind w:left="0" w:right="0" w:firstLine="720"/>
        <w:jc w:val="both"/>
        <w:rPr>
          <w:rFonts w:eastAsia="Times New Roman" w:cs="Times New Roman" w:ascii="Times New Roman" w:hAnsi="Times New Roman"/>
          <w:sz w:val="24"/>
          <w:szCs w:val="24"/>
          <w:lang w:val="pt-BR"/>
        </w:rPr>
      </w:pPr>
      <w:r>
        <w:rPr>
          <w:rFonts w:eastAsia="Times New Roman" w:cs="Times New Roman" w:ascii="Times New Roman" w:hAnsi="Times New Roman"/>
          <w:sz w:val="24"/>
          <w:szCs w:val="24"/>
          <w:lang w:val="pt-BR"/>
        </w:rPr>
        <w:t>Ao estudar o período da redemocratização do Brasil e de fim do conflito bipolar, algumas questões são essenciais para compreender a visão brasileira sobre o mundo e sobre seu papel no Sistema Internacional. O presente artigo tenta articular duas variáveis importantes que equacionam esse assunto: a política externa e a política de defesa. O esforço principal da concepção desse texto é tentar perceber se os paradigmas de política externa e os padrões do pensamento sobre defesa desenvolvem-se no mesmo ritmo e visando os mesmos objetivos; a hipótese levantada é a de que, apesar de não haver de fato uma sincronia imediata entre os dois temas, existe uma forte correlação entre os dois e esses não são e nem poderiam ser pensados de forma autônoma.</w:t>
      </w:r>
    </w:p>
    <w:p>
      <w:pPr>
        <w:pStyle w:val="Normal"/>
        <w:spacing w:lineRule="auto" w:line="360"/>
        <w:ind w:left="0" w:right="0" w:firstLine="720"/>
        <w:jc w:val="both"/>
        <w:rPr>
          <w:rFonts w:eastAsia="Times New Roman" w:cs="Times New Roman" w:ascii="Times New Roman" w:hAnsi="Times New Roman"/>
          <w:sz w:val="24"/>
          <w:szCs w:val="24"/>
          <w:lang w:val="pt-BR"/>
        </w:rPr>
      </w:pPr>
      <w:r>
        <w:rPr>
          <w:rFonts w:eastAsia="Times New Roman" w:cs="Times New Roman" w:ascii="Times New Roman" w:hAnsi="Times New Roman"/>
          <w:sz w:val="24"/>
          <w:szCs w:val="24"/>
          <w:lang w:val="pt-BR"/>
        </w:rPr>
        <w:t>É possível traçar o início da concretização do projeto de política de defesa brasileiro em alinhamento com o que Silva (2009) descreve como a crise da matriz neoliberal de política externa do Brasil, no final da década de 90, últimos anos do segundo governo FHC. A criação do Ministério da Defesa, em 1999, foi a consolidação de um processo que iniciara fracamente com o lançamento da Política Nacional de Defesa, em 1996, e que só foi concluído em 2012, com o lançamento do Livro Branco de Defesa. A criação da nova estrutura encabeçada pelo Ministério da Defesa foi também um momento de repensar as funções e a doutrina militar das nossas Forças Armadas; até então, durante todo o regime militar, a doutrina era instrumental para o combate de inimigos internos (WINAND; SAINT-PIERRE, 2010).</w:t>
      </w:r>
    </w:p>
    <w:p>
      <w:pPr>
        <w:pStyle w:val="Normal"/>
        <w:spacing w:lineRule="auto" w:line="360"/>
        <w:ind w:left="0" w:right="0" w:firstLine="720"/>
        <w:jc w:val="both"/>
        <w:rPr>
          <w:rFonts w:eastAsia="Times New Roman" w:cs="Times New Roman" w:ascii="Times New Roman" w:hAnsi="Times New Roman"/>
          <w:sz w:val="24"/>
          <w:szCs w:val="24"/>
          <w:lang w:val="pt-BR"/>
        </w:rPr>
      </w:pPr>
      <w:r>
        <w:rPr>
          <w:rFonts w:eastAsia="Times New Roman" w:cs="Times New Roman" w:ascii="Times New Roman" w:hAnsi="Times New Roman"/>
          <w:sz w:val="24"/>
          <w:szCs w:val="24"/>
          <w:lang w:val="pt-BR"/>
        </w:rPr>
        <w:t>Domício Proença Jr. e Eugênio Diniz se referiram a esse desenvolvimento como “institucionalidade governamental para a defesa”, que diz respeito ao conjunto de relacionamentos formais e informais entre as Forças Armadas e demais agências, grupos de pressão e organismos governamentais voltados para o assunto de defesa (PROENÇA JR; DINIZ, 1998, p.84)</w:t>
      </w:r>
      <w:r>
        <w:rPr>
          <w:rFonts w:eastAsia="Times New Roman" w:cs="Times New Roman" w:ascii="Times New Roman" w:hAnsi="Times New Roman"/>
          <w:i/>
          <w:iCs/>
          <w:sz w:val="24"/>
          <w:szCs w:val="24"/>
          <w:lang w:val="pt-BR"/>
        </w:rPr>
        <w:t>.</w:t>
      </w:r>
      <w:r>
        <w:rPr>
          <w:rFonts w:eastAsia="Times New Roman" w:cs="Times New Roman" w:ascii="Times New Roman" w:hAnsi="Times New Roman"/>
          <w:sz w:val="24"/>
          <w:szCs w:val="24"/>
          <w:lang w:val="pt-BR"/>
        </w:rPr>
        <w:t xml:space="preserve"> Assim, pode-se argumentar que o Brasil passou ter uma política de defesa concreta, específica e institucionalizada a partir do governo FHC (1995-2002) e nos mandatos de Lula (2003-2010) (GUIMARÃES, 2012, p. 25).</w:t>
      </w:r>
    </w:p>
    <w:p>
      <w:pPr>
        <w:pStyle w:val="Normal"/>
        <w:spacing w:lineRule="auto" w:line="360"/>
        <w:ind w:left="0" w:right="0" w:firstLine="720"/>
        <w:jc w:val="both"/>
        <w:rPr>
          <w:rFonts w:eastAsia="Times New Roman" w:cs="Times New Roman" w:ascii="Times New Roman" w:hAnsi="Times New Roman"/>
          <w:sz w:val="24"/>
          <w:szCs w:val="24"/>
          <w:lang w:val="pt-BR"/>
        </w:rPr>
      </w:pPr>
      <w:r>
        <w:rPr>
          <w:rFonts w:eastAsia="Times New Roman" w:cs="Times New Roman" w:ascii="Times New Roman" w:hAnsi="Times New Roman"/>
          <w:sz w:val="24"/>
          <w:szCs w:val="24"/>
          <w:lang w:val="pt-BR"/>
        </w:rPr>
        <w:t>É necessário considerar que a política externa de um país compreende duas esferas, uma diplomática e outra da estratégia e uso da força, a qual se insere na política de defesa (SOARES, 2011; GUIMARÃES, 2012). Como aponta Soares (2011, p. 74), é importante ponderar “se a defesa foi conduzida de forma convergente à diplomacia, constituindo um todo orgânico e consistente com a política externa”. Primeiramente, o artigo apresentará as linhas gerais das políticas externas dos períodos FHC e Lula e analisará suas políticas de defesa; posteriormente, será feita uma análise conjunta entre PEB e defesa de cada um dos presidentes e entre as mudanças (ou semelhanças) encontradas nos dois períodos. Espera-se, com esse estudo, contribuir para a compreensão da articulação entre essas variáveis, possibilitando uma visão mais clara sobre a urgência - ou não - de possuir uma política de defesa nacional com mais recursos para alcançar os objetivos de política externa.</w:t>
      </w:r>
    </w:p>
    <w:p>
      <w:pPr>
        <w:pStyle w:val="Normal"/>
        <w:spacing w:lineRule="auto" w:line="360"/>
        <w:jc w:val="both"/>
        <w:rPr>
          <w:rFonts w:cs="Times New Roman" w:ascii="Times New Roman" w:hAnsi="Times New Roman"/>
          <w:sz w:val="24"/>
          <w:szCs w:val="24"/>
          <w:lang w:val="pt-BR"/>
        </w:rPr>
      </w:pPr>
      <w:r>
        <w:rPr>
          <w:rFonts w:cs="Times New Roman" w:ascii="Times New Roman" w:hAnsi="Times New Roman"/>
          <w:sz w:val="24"/>
          <w:szCs w:val="24"/>
          <w:lang w:val="pt-BR"/>
        </w:rPr>
      </w:r>
    </w:p>
    <w:p>
      <w:pPr>
        <w:pStyle w:val="Normal"/>
        <w:spacing w:lineRule="auto" w:line="360"/>
        <w:jc w:val="both"/>
        <w:rPr>
          <w:rFonts w:eastAsia="Times New Roman" w:cs="Times New Roman" w:ascii="Times New Roman" w:hAnsi="Times New Roman"/>
          <w:b/>
          <w:sz w:val="24"/>
          <w:szCs w:val="24"/>
          <w:lang w:val="pt-BR"/>
        </w:rPr>
      </w:pPr>
      <w:r>
        <w:rPr>
          <w:rFonts w:eastAsia="Times New Roman" w:cs="Times New Roman" w:ascii="Times New Roman" w:hAnsi="Times New Roman"/>
          <w:b/>
          <w:sz w:val="24"/>
          <w:szCs w:val="24"/>
          <w:lang w:val="pt-BR"/>
        </w:rPr>
        <w:t>2 A Política Externa de Fernando Henrique Cardoso</w:t>
      </w:r>
    </w:p>
    <w:p>
      <w:pPr>
        <w:pStyle w:val="Normal"/>
        <w:spacing w:lineRule="auto" w:line="360"/>
        <w:ind w:left="0" w:right="0" w:firstLine="720"/>
        <w:jc w:val="both"/>
        <w:rPr>
          <w:rFonts w:eastAsia="Times New Roman" w:cs="Times New Roman" w:ascii="Times New Roman" w:hAnsi="Times New Roman"/>
          <w:sz w:val="24"/>
          <w:szCs w:val="24"/>
          <w:lang w:val="pt-BR"/>
        </w:rPr>
      </w:pPr>
      <w:r>
        <w:rPr>
          <w:rFonts w:eastAsia="Times New Roman" w:cs="Times New Roman" w:ascii="Times New Roman" w:hAnsi="Times New Roman"/>
          <w:sz w:val="24"/>
          <w:szCs w:val="24"/>
          <w:lang w:val="pt-BR"/>
        </w:rPr>
        <w:t xml:space="preserve">Fernando Henrique Cardoso governou o Brasil de 1994 a 2002. Durante sua presidência, havia a percepção de que era necessário eliminar o Estado Empresário – ou Nacional-desenvolvimentista –, privatizar os empreendimentos estatais, realizar </w:t>
      </w:r>
      <w:commentRangeStart w:id="0"/>
      <w:r>
        <w:rPr>
          <w:rFonts w:eastAsia="Times New Roman" w:cs="Times New Roman" w:ascii="Times New Roman" w:hAnsi="Times New Roman"/>
          <w:sz w:val="24"/>
          <w:szCs w:val="24"/>
          <w:lang w:val="pt-BR"/>
        </w:rPr>
      </w:r>
      <w:r>
        <w:rPr>
          <w:rFonts w:eastAsia="Times New Roman" w:cs="Times New Roman" w:ascii="Times New Roman" w:hAnsi="Times New Roman"/>
          <w:sz w:val="24"/>
          <w:szCs w:val="24"/>
          <w:shd w:fill="FFFF00" w:val="clear"/>
          <w:lang w:val="pt-BR"/>
        </w:rPr>
        <w:t>superávit</w:t>
      </w:r>
      <w:commentRangeEnd w:id="0"/>
      <w:r>
        <w:rPr>
          <w:rFonts w:eastAsia="Times New Roman" w:cs="Times New Roman" w:ascii="Times New Roman" w:hAnsi="Times New Roman"/>
          <w:sz w:val="24"/>
          <w:szCs w:val="24"/>
          <w:shd w:fill="FFFF00" w:val="clear"/>
          <w:lang w:val="pt-BR"/>
        </w:rPr>
      </w:r>
      <w:r>
        <w:rPr>
          <w:rFonts w:eastAsia="Times New Roman" w:cs="Times New Roman" w:ascii="Times New Roman" w:hAnsi="Times New Roman"/>
          <w:sz w:val="24"/>
          <w:szCs w:val="24"/>
          <w:shd w:fill="FFFF00" w:val="clear"/>
          <w:lang w:val="pt-BR"/>
        </w:rPr>
        <w:commentReference w:id="0"/>
      </w:r>
      <w:r>
        <w:rPr>
          <w:rFonts w:eastAsia="Times New Roman" w:cs="Times New Roman" w:ascii="Times New Roman" w:hAnsi="Times New Roman"/>
          <w:sz w:val="24"/>
          <w:szCs w:val="24"/>
          <w:lang w:val="pt-BR"/>
        </w:rPr>
        <w:t xml:space="preserve"> primário, proteger o capital e os investimentos estrangeiros e adaptar as instituições e a legislação, instituindo o Estado Normal (SIMÃO, 2009). Esse curso de ação estava ligado ao Plano Real e à lógica anti-inflacionária do governo, que buscava garantir a boa imagem internacional do país de forma a manter o afluxo de dólares. O governo FHC caracteriza-se, assim, por um Estado subserviente, que se submete ao centro hegemônico e aliena a economia nacional (CERVO; BUENO, 2002).</w:t>
      </w:r>
    </w:p>
    <w:p>
      <w:pPr>
        <w:pStyle w:val="Normal"/>
        <w:spacing w:lineRule="auto" w:line="360"/>
        <w:ind w:left="0" w:right="0" w:firstLine="720"/>
        <w:jc w:val="both"/>
        <w:rPr>
          <w:rFonts w:eastAsia="Times New Roman" w:cs="Times New Roman" w:ascii="Times New Roman" w:hAnsi="Times New Roman"/>
          <w:sz w:val="24"/>
          <w:szCs w:val="24"/>
          <w:lang w:val="pt-BR"/>
        </w:rPr>
      </w:pPr>
      <w:r>
        <w:rPr>
          <w:rFonts w:eastAsia="Times New Roman" w:cs="Times New Roman" w:ascii="Times New Roman" w:hAnsi="Times New Roman"/>
          <w:sz w:val="24"/>
          <w:szCs w:val="24"/>
          <w:lang w:val="pt-BR"/>
        </w:rPr>
        <w:t>Durante os mandatos de FHC, é possível distinguir dois períodos de política externa: o primeiro, de otimismo liberal, que durou até final dos anos 1990, e o segundo, de globalização assimétrica, que teve lugar nos últimos anos do g</w:t>
      </w:r>
      <w:bookmarkStart w:id="0" w:name="_GoBack"/>
      <w:bookmarkEnd w:id="0"/>
      <w:r>
        <w:rPr>
          <w:rFonts w:eastAsia="Times New Roman" w:cs="Times New Roman" w:ascii="Times New Roman" w:hAnsi="Times New Roman"/>
          <w:sz w:val="24"/>
          <w:szCs w:val="24"/>
          <w:lang w:val="pt-BR"/>
        </w:rPr>
        <w:t xml:space="preserve">overno. A primeira fase da Política Externa Brasileira (PEB) foi condicionada por uma visão de fim da divisão Leste-Oeste e do conflito Norte-Sul, da convergência de valores nas áreas política e econômica e da presença de uma única superpotência econômico-militar, os EUA, hegemônicos na Pax Americana. Nesse cenário, o Brasil nutria a ideia de que havia um descolamento entre o poder militar e a capacidade de manter a ordem e que esse </w:t>
      </w:r>
      <w:r>
        <w:rPr>
          <w:rFonts w:eastAsia="Times New Roman" w:cs="Times New Roman" w:ascii="Times New Roman" w:hAnsi="Times New Roman"/>
          <w:i/>
          <w:iCs/>
          <w:sz w:val="24"/>
          <w:szCs w:val="24"/>
          <w:lang w:val="pt-BR"/>
        </w:rPr>
        <w:t>hard power</w:t>
      </w:r>
      <w:r>
        <w:rPr>
          <w:rFonts w:eastAsia="Times New Roman" w:cs="Times New Roman" w:ascii="Times New Roman" w:hAnsi="Times New Roman"/>
          <w:sz w:val="24"/>
          <w:szCs w:val="24"/>
          <w:lang w:val="pt-BR"/>
        </w:rPr>
        <w:t xml:space="preserve"> havia perdido importância para o poder econômico, cultural e simbólico (LAMPREIA, 1998). A inserção internacional também teve relação com o cenário interno brasileiro de estabilidade econômica e de consolidação da democracia, elementos que contribuíam para a credibilidade externa do país.</w:t>
      </w:r>
    </w:p>
    <w:p>
      <w:pPr>
        <w:pStyle w:val="Normal"/>
        <w:spacing w:lineRule="auto" w:line="360"/>
        <w:ind w:left="0" w:right="0" w:firstLine="720"/>
        <w:jc w:val="both"/>
        <w:rPr>
          <w:rFonts w:eastAsia="Times New Roman" w:cs="Times New Roman" w:ascii="Times New Roman" w:hAnsi="Times New Roman"/>
          <w:sz w:val="24"/>
          <w:szCs w:val="24"/>
          <w:lang w:val="pt-BR"/>
        </w:rPr>
      </w:pPr>
      <w:r>
        <w:rPr>
          <w:rFonts w:eastAsia="Times New Roman" w:cs="Times New Roman" w:ascii="Times New Roman" w:hAnsi="Times New Roman"/>
          <w:sz w:val="24"/>
          <w:szCs w:val="24"/>
          <w:lang w:val="pt-BR"/>
        </w:rPr>
        <w:t xml:space="preserve">Sob essa perspectiva de “paz Kantiana” e de projeto neoliberal, a política externa foi estruturada na </w:t>
      </w:r>
      <w:r>
        <w:rPr>
          <w:rFonts w:eastAsia="Times New Roman" w:cs="Times New Roman" w:ascii="Times New Roman" w:hAnsi="Times New Roman"/>
          <w:i/>
          <w:iCs/>
          <w:sz w:val="24"/>
          <w:szCs w:val="24"/>
          <w:lang w:val="pt-BR"/>
        </w:rPr>
        <w:t>autonomia pela integração</w:t>
      </w:r>
      <w:r>
        <w:rPr>
          <w:rFonts w:eastAsia="Times New Roman" w:cs="Times New Roman" w:ascii="Times New Roman" w:hAnsi="Times New Roman"/>
          <w:sz w:val="24"/>
          <w:szCs w:val="24"/>
          <w:lang w:val="pt-BR"/>
        </w:rPr>
        <w:t>, através da qual se buscava margem de manobra suficiente, mas não completa, nas relações exteriores (LAMPREIA, 1998). Como exposto por Luiz Felipe Lampreia, Ministro das Relações exteriores do período, o país visava "a manutenção de um comportamento de mainstream, mas com atenção à especificidade do Brasil, tanto nos seus condicionamentos, quanto nos seus objetivos e interesses" (LAMPREIA, 1999, p. 89).</w:t>
      </w:r>
    </w:p>
    <w:p>
      <w:pPr>
        <w:pStyle w:val="Normal"/>
        <w:spacing w:lineRule="auto" w:line="360"/>
        <w:ind w:left="0" w:right="0" w:firstLine="720"/>
        <w:jc w:val="both"/>
        <w:rPr>
          <w:rFonts w:eastAsia="Times New Roman" w:cs="Times New Roman" w:ascii="Times New Roman" w:hAnsi="Times New Roman"/>
          <w:sz w:val="24"/>
          <w:szCs w:val="24"/>
          <w:lang w:val="pt-BR"/>
        </w:rPr>
      </w:pPr>
      <w:r>
        <w:rPr>
          <w:rFonts w:eastAsia="Times New Roman" w:cs="Times New Roman" w:ascii="Times New Roman" w:hAnsi="Times New Roman"/>
          <w:sz w:val="24"/>
          <w:szCs w:val="24"/>
          <w:lang w:val="pt-BR"/>
        </w:rPr>
        <w:t>Durante o período do otimismo liberal, a PEB foi orientada pelos princípios da democracia, estabilidade monetária e abertura de mercados (ou seja, a política exterior tinha um grande viés econômico). Havia a noção de que o multilateralismo equivalia a um mundo globalizado, feito de regras justas, transparentes e benéficas para todos, por isso a grande preocupação do governo era corresponder às imposições e regimes internacionais, principalmente àqueles estabelecidos pelos EUA. Nessa primeira fase houve também a expansão do universalismo, com o aprofundamento da presença brasileira em várias partes do mundo a partir de quatro campos de atuação: integração regional, diversificação de parceiros bilaterais, criação de condições para acordos multilaterais e ação condizente com o papel de potência média com aspirações globais (SIMÃO, 2009).</w:t>
      </w:r>
    </w:p>
    <w:p>
      <w:pPr>
        <w:pStyle w:val="Normal"/>
        <w:spacing w:lineRule="auto" w:line="360"/>
        <w:ind w:left="0" w:right="0" w:firstLine="720"/>
        <w:jc w:val="both"/>
        <w:rPr>
          <w:rFonts w:eastAsia="Times New Roman" w:cs="Times New Roman" w:ascii="Times New Roman" w:hAnsi="Times New Roman"/>
          <w:sz w:val="24"/>
          <w:szCs w:val="24"/>
          <w:lang w:val="pt-BR"/>
        </w:rPr>
      </w:pPr>
      <w:r>
        <w:rPr>
          <w:rFonts w:eastAsia="Times New Roman" w:cs="Times New Roman" w:ascii="Times New Roman" w:hAnsi="Times New Roman"/>
          <w:sz w:val="24"/>
          <w:szCs w:val="24"/>
          <w:lang w:val="pt-BR"/>
        </w:rPr>
        <w:t xml:space="preserve">Na integração regional o país deu atenção especial para o Mercosul, tido como base para a integração econômica com o resto do globo, e buscou garantir certa margem de autonomia regional frente aos EUA, ainda que sem se contrapor diretamente a projetos como a ALCA. As relações bilaterais, por sua vez, foram marcadas pela postura de </w:t>
      </w:r>
      <w:r>
        <w:rPr>
          <w:rFonts w:eastAsia="Times New Roman" w:cs="Times New Roman" w:ascii="Times New Roman" w:hAnsi="Times New Roman"/>
          <w:i/>
          <w:iCs/>
          <w:sz w:val="24"/>
          <w:szCs w:val="24"/>
          <w:lang w:val="pt-BR"/>
        </w:rPr>
        <w:t>global trader</w:t>
      </w:r>
      <w:r>
        <w:rPr>
          <w:rFonts w:eastAsia="Times New Roman" w:cs="Times New Roman" w:ascii="Times New Roman" w:hAnsi="Times New Roman"/>
          <w:sz w:val="24"/>
          <w:szCs w:val="24"/>
          <w:lang w:val="pt-BR"/>
        </w:rPr>
        <w:t>, com o estabelecimento de possibilidades de parcerias estratégicas com China, Índia e Rússia e de parcerias com União Europeia e NAFTA. No âmbito multilateral, o Brasil buscou limpar a agenda e trazer maior credibilidade ao país, além de aceitar tacitamente o princípio dos “mais iguais”, que ditava que as grandes potências tinham papel especial no Sistema Internacional. Por fim, procurando agir como potência média com aspirações globais, o país tinha uma percepção de liderança inicialmente restrita à região e tentou de maneira não insistente conquistar uma vaga permanente no Conselho de Segurança (VIZENTINI, 2005; ALMEIDA, 2004). É importante ressaltar que, mesmo com essas perspectivas de diversificação, a prioridade do Brasil no cenário internacional eram as relações com as grandes potências e os organismos internacionais.</w:t>
      </w:r>
    </w:p>
    <w:p>
      <w:pPr>
        <w:pStyle w:val="Normal"/>
        <w:spacing w:lineRule="auto" w:line="360"/>
        <w:ind w:left="0" w:right="0" w:firstLine="720"/>
        <w:jc w:val="both"/>
        <w:rPr>
          <w:rFonts w:eastAsia="Times New Roman" w:cs="Times New Roman" w:ascii="Times New Roman" w:hAnsi="Times New Roman"/>
          <w:sz w:val="24"/>
          <w:szCs w:val="24"/>
          <w:lang w:val="pt-BR"/>
        </w:rPr>
      </w:pPr>
      <w:r>
        <w:rPr>
          <w:rFonts w:eastAsia="Times New Roman" w:cs="Times New Roman" w:ascii="Times New Roman" w:hAnsi="Times New Roman"/>
          <w:sz w:val="24"/>
          <w:szCs w:val="24"/>
          <w:lang w:val="pt-BR"/>
        </w:rPr>
        <w:t>No fim dos anos 1990 e início dos anos 2000, foram desarticuladas as bases da política externa. A crise financeira de 1999 e a nova ênfase dos EUA no unilateralismo focado nas questões de segurança que entrou em voga no pós-11 de setembro modificaram o quadro conceitual das relações internacionais, trazendo novas dificuldades práticas e teóricas para o governo FHC (VIGEVANI; OLIVEIRA; CINTRA, 2007). Na gestão Lafer no MRE, de 2001 a 2002, foi atenuada a ideia da "autonomia pela integração", emergindo, sem que aquela desaparecesse, a ideia de "arrumar a casa" por meio da execução de uma "diplomacia do concreto" (LAFER, 2002). O governo passou de uma noção de otimismo liberal para uma ideia de globalização assimétrica, criticando a estrutura do Sistema Internacional e o unilateralismo recuperando o discurso de que as relações internacionais estão condicionadas por uma distribuição desigual de poder (SILVA, 2009). Procurou-se ampliar as relações com a China, a Índia e a África do Sul para garantir maior espaço de manobra, ainda que de maneira tímida, e a ação regional também recrudesceu, com iniciativas como a I Reunião de Cúpula dos Países Sul Americanos (2000) e a Associação Mercosul-Comunidade Andina (2002). Além disso, o Brasil abandonou suas pretensões de se tornar uma grande potência. Contudo, a crise do multilateralismo e da matriz neoliberal da política externa brasileira continuou se agravando, evidenciada pelo caso Bustani e pela adoção gradual de características do Estado logístico (SILVA, 2009; ALMEIDA, 2004).</w:t>
      </w:r>
    </w:p>
    <w:p>
      <w:pPr>
        <w:pStyle w:val="Normal"/>
        <w:spacing w:lineRule="auto" w:line="360"/>
        <w:jc w:val="both"/>
        <w:rPr>
          <w:rFonts w:eastAsia="Times New Roman" w:cs="Times New Roman" w:ascii="Times New Roman" w:hAnsi="Times New Roman"/>
          <w:sz w:val="24"/>
          <w:szCs w:val="24"/>
          <w:lang w:val="pt-BR"/>
        </w:rPr>
      </w:pPr>
      <w:r>
        <w:rPr>
          <w:rFonts w:eastAsia="Times New Roman" w:cs="Times New Roman" w:ascii="Times New Roman" w:hAnsi="Times New Roman"/>
          <w:sz w:val="24"/>
          <w:szCs w:val="24"/>
          <w:lang w:val="pt-BR"/>
        </w:rPr>
        <w:t xml:space="preserve"> </w:t>
      </w:r>
    </w:p>
    <w:p>
      <w:pPr>
        <w:pStyle w:val="Normal"/>
        <w:spacing w:lineRule="auto" w:line="360"/>
        <w:jc w:val="both"/>
        <w:rPr>
          <w:rFonts w:eastAsia="Times New Roman" w:cs="Times New Roman" w:ascii="Times New Roman" w:hAnsi="Times New Roman"/>
          <w:b/>
          <w:sz w:val="24"/>
          <w:szCs w:val="24"/>
          <w:lang w:val="pt-BR"/>
        </w:rPr>
      </w:pPr>
      <w:r>
        <w:rPr>
          <w:rFonts w:eastAsia="Times New Roman" w:cs="Times New Roman" w:ascii="Times New Roman" w:hAnsi="Times New Roman"/>
          <w:b/>
          <w:sz w:val="24"/>
          <w:szCs w:val="24"/>
          <w:lang w:val="pt-BR"/>
        </w:rPr>
        <w:t>3 A Política de Defesa de Fernando Henrique Cardoso</w:t>
      </w:r>
    </w:p>
    <w:p>
      <w:pPr>
        <w:pStyle w:val="Normal"/>
        <w:spacing w:lineRule="auto" w:line="360"/>
        <w:ind w:left="0" w:right="0" w:firstLine="720"/>
        <w:jc w:val="both"/>
        <w:rPr>
          <w:rFonts w:eastAsia="Times New Roman" w:cs="Times New Roman" w:ascii="Times New Roman" w:hAnsi="Times New Roman"/>
          <w:sz w:val="24"/>
          <w:szCs w:val="24"/>
          <w:lang w:val="pt-BR"/>
        </w:rPr>
      </w:pPr>
      <w:r>
        <w:rPr>
          <w:rFonts w:eastAsia="Times New Roman" w:cs="Times New Roman" w:ascii="Times New Roman" w:hAnsi="Times New Roman"/>
          <w:sz w:val="24"/>
          <w:szCs w:val="24"/>
          <w:lang w:val="pt-BR"/>
        </w:rPr>
        <w:t>Nessa seção do artigo, são tratadas as questões de defesa do período Fernando Henrique Cardoso (1995-2002). Inicialmente, é importante ressaltar uma das características mais proeminentes do governo FHC, qual seja, o seu enquadramento num espectro mais liberal da esfera política. Em razão disso, a importância da economia na condução da política externa estava à frente de temas ligados à segurança e principalmente à defesa, cuja qual foi relegada para segundo plano. Mesmo assim, ocorreram avanços significativos nessas áreas, e que merecem ser destacados.</w:t>
      </w:r>
    </w:p>
    <w:p>
      <w:pPr>
        <w:pStyle w:val="Normal"/>
        <w:spacing w:lineRule="auto" w:line="360"/>
        <w:ind w:left="0" w:right="0" w:firstLine="720"/>
        <w:jc w:val="both"/>
        <w:rPr>
          <w:rFonts w:eastAsia="Times New Roman" w:cs="Times New Roman" w:ascii="Times New Roman" w:hAnsi="Times New Roman"/>
          <w:sz w:val="24"/>
          <w:szCs w:val="24"/>
          <w:lang w:val="pt-BR"/>
        </w:rPr>
      </w:pPr>
      <w:r>
        <w:rPr>
          <w:rFonts w:eastAsia="Times New Roman" w:cs="Times New Roman" w:ascii="Times New Roman" w:hAnsi="Times New Roman"/>
          <w:sz w:val="24"/>
          <w:szCs w:val="24"/>
          <w:lang w:val="pt-BR"/>
        </w:rPr>
        <w:t>A atuação brasileira em questões de segurança internacional, durante a gestão de Cardoso, reflete a busca por reconhecimento e maior prestígio perante à Comunidade Internacional. Sendo assim, o Brasil teve uma atuação destacada em operações de Paz da ONU, integrando, por exemplo, a United Nations Angola Verification Mission III (Missão da ONU em Angola), em que enviou contingentes sucessivos de cerca de 1.300 militares brasileiros em cada um deles. Além disso, o Brasil enviou forças policiais para a Operação de Paz das Nações Unidas no Timor Leste, em 1999 (SILVA: 2010). Dessa forma, foi possível para o exército acumular experiência em relação à Operações de Paz, além de contribuir para o aumento da relevância brasileira no principal fórum multilateral de segurança coletiva.</w:t>
      </w:r>
    </w:p>
    <w:p>
      <w:pPr>
        <w:pStyle w:val="Normal"/>
        <w:spacing w:lineRule="auto" w:line="360"/>
        <w:ind w:left="0" w:right="0" w:firstLine="720"/>
        <w:jc w:val="both"/>
        <w:rPr>
          <w:rFonts w:eastAsia="Times New Roman" w:cs="Times New Roman" w:ascii="Times New Roman" w:hAnsi="Times New Roman"/>
          <w:sz w:val="24"/>
          <w:szCs w:val="24"/>
          <w:lang w:val="pt-BR"/>
        </w:rPr>
      </w:pPr>
      <w:r>
        <w:rPr>
          <w:rFonts w:eastAsia="Times New Roman" w:cs="Times New Roman" w:ascii="Times New Roman" w:hAnsi="Times New Roman"/>
          <w:sz w:val="24"/>
          <w:szCs w:val="24"/>
          <w:lang w:val="pt-BR"/>
        </w:rPr>
        <w:t>No que diz respeito aos regimes internacionais, em 1997 o Tratado de Não-Proliferação de Armas Nucleares (TNP) foi assinado pelo presidente, e ratificado pelo Congresso Nacional em 1998. Segundo Silva, a ratificação desse tratado “[...] culminou o processo de amadurecimento da posição brasileira no tocante à não-proliferação de armas nucleares” (SILVA: 2010), e restringiu, de uma vez por todas, a geração de armas nucleares no território nacional (SOARES, 2008). Foi uma medida fortemente conectada ao desejo do presidente de aderir aos acordos internacionais importantes e garantir mais respaldo na comunidade internacional. Além disso, o Brasil já havia assinado acordos com a Argentina</w:t>
      </w:r>
      <w:r>
        <w:rPr>
          <w:rStyle w:val="Ncoradanotaderodap"/>
          <w:rFonts w:eastAsia="Times New Roman" w:cs="Times New Roman" w:ascii="Times New Roman" w:hAnsi="Times New Roman"/>
          <w:sz w:val="24"/>
          <w:szCs w:val="24"/>
          <w:lang w:val="pt-BR"/>
        </w:rPr>
        <w:footnoteReference w:id="2"/>
      </w:r>
      <w:r>
        <w:rPr>
          <w:rFonts w:eastAsia="Times New Roman" w:cs="Times New Roman" w:ascii="Times New Roman" w:hAnsi="Times New Roman"/>
          <w:sz w:val="24"/>
          <w:szCs w:val="24"/>
          <w:lang w:val="pt-BR"/>
        </w:rPr>
        <w:t xml:space="preserve"> e com vizinhos latinos sobre a questão nuclear (Tratado de Tlatelolco).</w:t>
      </w:r>
    </w:p>
    <w:p>
      <w:pPr>
        <w:pStyle w:val="Normal"/>
        <w:spacing w:lineRule="auto" w:line="360"/>
        <w:ind w:left="0" w:right="0" w:firstLine="720"/>
        <w:jc w:val="both"/>
        <w:rPr>
          <w:rFonts w:eastAsia="Times New Roman" w:cs="Times New Roman" w:ascii="Times New Roman" w:hAnsi="Times New Roman"/>
          <w:sz w:val="24"/>
          <w:szCs w:val="24"/>
          <w:lang w:val="pt-BR"/>
        </w:rPr>
      </w:pPr>
      <w:r>
        <w:rPr>
          <w:rFonts w:eastAsia="Times New Roman" w:cs="Times New Roman" w:ascii="Times New Roman" w:hAnsi="Times New Roman"/>
          <w:sz w:val="24"/>
          <w:szCs w:val="24"/>
          <w:lang w:val="pt-BR"/>
        </w:rPr>
        <w:t>Com o final do conflito bipolar, as ameaças de avanço do comunismo caíram por terra. Novos temas sob a égide neoliberal foram postos em pauta, sobretudo, levantados pelos países vencedores (capitalistas avançados) na Comunidade Internacional. Dado que a iminência de um conflito interestatal diminuiu consideravelmente e, assim, as tensões saem do foco estatal para o foco social, a agenda realista - de percepção estado-cêntrica - foi colocada de lado. Os desafios a serem superados estavam conectados ao indivíduo e à sociedade. As principais questões eram: terrorismo (grupos subestatais subversivos ou concorrentes ao Estado), narcotráfico, segurança ambiental, segurança econômica, segurança institucional (democracia, principalmente). Essa alteração radical enterrou a possibilidade de ter como o principal inimigo o comunista (ainda conectado na lógica do conflito Leste-Oeste) e criou uma crise de identidade nas Forças Armadas - porque agora as funções de segurança não estavam necessariamente ligadas ao uso da força e, em alguns casos, podiam até mesmo estar relacionadas à prevenção de possíveis incidentes (por exemplo: erradicação da fome) (MELLO, 2011; PAGLIARI, 2009).</w:t>
      </w:r>
    </w:p>
    <w:p>
      <w:pPr>
        <w:pStyle w:val="Normal"/>
        <w:spacing w:lineRule="auto" w:line="360"/>
        <w:ind w:left="0" w:right="0" w:firstLine="720"/>
        <w:jc w:val="both"/>
        <w:rPr>
          <w:rFonts w:eastAsia="Times New Roman" w:cs="Times New Roman" w:ascii="Times New Roman" w:hAnsi="Times New Roman"/>
          <w:sz w:val="24"/>
          <w:szCs w:val="24"/>
          <w:lang w:val="pt-BR"/>
        </w:rPr>
      </w:pPr>
      <w:r>
        <w:rPr>
          <w:rFonts w:eastAsia="Times New Roman" w:cs="Times New Roman" w:ascii="Times New Roman" w:hAnsi="Times New Roman"/>
          <w:sz w:val="24"/>
          <w:szCs w:val="24"/>
          <w:lang w:val="pt-BR"/>
        </w:rPr>
        <w:t>Como a condução da política externa visava uma boa impressão do Brasil junto a Comunidade Internacional, a adesão dessa nova percepção da agenda de segurança foi incorporada, de certa maneira, ao ideário brasileiro. Entretanto, não necessariamente foram atribuídas competências às Forças Armadas que não fossem a sua atuação clássica, qual seja, a defesa do território. Por parte dos EUA, havia tentativas da expansão da hegemonia sobre a América Latina quando o assunto era segurança; Clinton buscava sequestrar o debate no sentido de tornar os vizinhos brasileiros mais sensíveis e responsivos ao assunto terrorismo, muito embora não tenha obtido sucesso (SOARES, 2008).</w:t>
      </w:r>
    </w:p>
    <w:p>
      <w:pPr>
        <w:pStyle w:val="Normal"/>
        <w:spacing w:lineRule="auto" w:line="360"/>
        <w:ind w:left="0" w:right="0" w:firstLine="720"/>
        <w:jc w:val="both"/>
        <w:rPr>
          <w:rFonts w:eastAsia="Times New Roman" w:cs="Times New Roman" w:ascii="Times New Roman" w:hAnsi="Times New Roman"/>
          <w:sz w:val="24"/>
          <w:szCs w:val="24"/>
          <w:lang w:val="pt-BR"/>
        </w:rPr>
      </w:pPr>
      <w:r>
        <w:rPr>
          <w:rFonts w:eastAsia="Times New Roman" w:cs="Times New Roman" w:ascii="Times New Roman" w:hAnsi="Times New Roman"/>
          <w:sz w:val="24"/>
          <w:szCs w:val="24"/>
          <w:lang w:val="pt-BR"/>
        </w:rPr>
        <w:t>Foi herdada pelo presidente Cardoso a intenção brasileira de manter a cooperação política com vizinhos, a paz da região e a integração econômica com os países platinos. Então, como as negociações do Mercosul já haviam sido elevadas a um patamar de união aduaneira (Protocolo de Ouro Preto de 1994) e a relação de desconfiança com a Argentina já estava no passado, o único foco de instabilidade provável - relacionado ao narcotráfico - era a região amazônica, que gerava interesse internacional tanto de países - visando seus recursos e a internacionalização da região - quanto de ONGs - visando a proteção humana, caso sensível dada a violação de soberania (PAGLIARI, 2009). Para o monitoramento e processamento de informação sobre essa porção do território, foram lançadas as iniciativas da SIVAM (Sistema de Vigilância da Amazônia) e a SIPAM (Sistema de Proteção da Amazônia) em 1995, com início do seu funcionamento em 1997 (SANTOS, 2006). Para fomentar a troca de informações e cooperação com os vizinhos da área, o Tratado de Cooperação Amazônica se transformou em Organização do Tratado de Cooperação Amazônica, pretendendo criar estabilidade e solidariedade entre os países para gerir a Amazônia.</w:t>
      </w:r>
    </w:p>
    <w:p>
      <w:pPr>
        <w:pStyle w:val="Normal"/>
        <w:spacing w:lineRule="auto" w:line="360"/>
        <w:ind w:left="0" w:right="0" w:firstLine="720"/>
        <w:jc w:val="both"/>
        <w:rPr>
          <w:rFonts w:eastAsia="Times New Roman" w:cs="Times New Roman" w:ascii="Times New Roman" w:hAnsi="Times New Roman"/>
          <w:sz w:val="24"/>
          <w:szCs w:val="24"/>
          <w:lang w:val="pt-BR"/>
        </w:rPr>
      </w:pPr>
      <w:r>
        <w:rPr>
          <w:rFonts w:eastAsia="Times New Roman" w:cs="Times New Roman" w:ascii="Times New Roman" w:hAnsi="Times New Roman"/>
          <w:sz w:val="24"/>
          <w:szCs w:val="24"/>
          <w:lang w:val="pt-BR"/>
        </w:rPr>
        <w:t>Em 1996 foi promulgada a Política de Defesa Nacional, que serviu como um dos primeiros passos para a reestruturação do arcabouço institucional brasileiro relacionado ao setor militar, mesmo que a sua validade como uma política de defesa bem definida seja fortemente questionável (ALSINA: 2003). Esse viria a ser o primeiro documento dessa natureza pós-</w:t>
      </w:r>
      <w:r>
        <w:rPr>
          <w:rFonts w:eastAsia="Times New Roman" w:cs="Times New Roman" w:ascii="Times New Roman" w:hAnsi="Times New Roman"/>
          <w:sz w:val="24"/>
          <w:szCs w:val="24"/>
          <w:shd w:fill="FFFFFF" w:val="clear"/>
          <w:lang w:val="pt-BR"/>
        </w:rPr>
        <w:t xml:space="preserve">Escola Superior de Guerra </w:t>
      </w:r>
      <w:r>
        <w:rPr>
          <w:rFonts w:eastAsia="Times New Roman" w:cs="Times New Roman" w:ascii="Times New Roman" w:hAnsi="Times New Roman"/>
          <w:sz w:val="24"/>
          <w:szCs w:val="24"/>
          <w:lang w:val="pt-BR"/>
        </w:rPr>
        <w:t>durante o ciclo militar, que tinha como binômio segurança e desenvolvimento. É importante conectar esse esforço de teorizar assuntos sobre a segurança nacional já que o Brasil procurava alcançar a liderança da região sul-americana (em contraposição ao projeto de verticalização da subordinação do território americano, a essência da Área de Livre Comércio das Américas) e, para isso, era necessário possuir um documento de política de defesa declaratório que proporcionasse transparência e clareza, especialmente, traçando alguns objetivos básicos a serem perseguidos - que seria o primeiro passo para um Livro Branco, como temos hoje (PAGLIARI, 2009; SOARES, 2008).</w:t>
      </w:r>
    </w:p>
    <w:p>
      <w:pPr>
        <w:pStyle w:val="Normal"/>
        <w:spacing w:lineRule="auto" w:line="360"/>
        <w:ind w:left="0" w:right="0" w:firstLine="720"/>
        <w:jc w:val="both"/>
        <w:rPr>
          <w:rFonts w:eastAsia="Times New Roman" w:cs="Times New Roman" w:ascii="Times New Roman" w:hAnsi="Times New Roman"/>
          <w:sz w:val="24"/>
          <w:szCs w:val="24"/>
          <w:lang w:val="pt-BR"/>
        </w:rPr>
      </w:pPr>
      <w:r>
        <w:rPr>
          <w:rFonts w:eastAsia="Times New Roman" w:cs="Times New Roman" w:ascii="Times New Roman" w:hAnsi="Times New Roman"/>
          <w:sz w:val="24"/>
          <w:szCs w:val="24"/>
          <w:lang w:val="pt-BR"/>
        </w:rPr>
        <w:t>Analisando o documento, nota-se que ele é muito preliminar, dado a sua pouca extensão e profundidade sobre os temas abordados (não fixa nenhum conceito novo ou assinala algum projeto), e que aparenta estar mais declarando suas intenções e ressaltando seus princípios básicos como nação do que apresentando doutrinas ou projetos. É posto em evidência que o principal fator para a defesa é externo ao país. Alguns princípios basilares são levantados, como compromisso com a paz da região e do mundo, cumprimento das leis de direito internacional, solução pacífica de controvérsias, condenação da guerra de conquista, desarmamento nuclear e uso da força como autodefesa; todos pontos já bem conhecidos pelo padrão de política externa brasileiro.</w:t>
      </w:r>
    </w:p>
    <w:p>
      <w:pPr>
        <w:pStyle w:val="Normal"/>
        <w:spacing w:lineRule="auto" w:line="360"/>
        <w:ind w:left="0" w:right="0" w:firstLine="720"/>
        <w:jc w:val="both"/>
        <w:rPr>
          <w:rFonts w:eastAsia="Times New Roman" w:cs="Times New Roman" w:ascii="Times New Roman" w:hAnsi="Times New Roman"/>
          <w:sz w:val="24"/>
          <w:szCs w:val="24"/>
          <w:lang w:val="pt-BR"/>
        </w:rPr>
      </w:pPr>
      <w:r>
        <w:rPr>
          <w:rFonts w:eastAsia="Times New Roman" w:cs="Times New Roman" w:ascii="Times New Roman" w:hAnsi="Times New Roman"/>
          <w:sz w:val="24"/>
          <w:szCs w:val="24"/>
          <w:lang w:val="pt-BR"/>
        </w:rPr>
        <w:t>A PDN ressaltava que o Brasil possuía várias frentes que poderiam trazer instabilidade (como a região norte e o Atlântico Sul), uma vez que o sistema internacional era agora multipolar e possivelmente mais instável. A natureza do conflito também possuía novas facetas como a étnica, a religiosa e a nacionalista (movimentos de independência) e não só conflitos entre Estados eram esperados como focos de insegurança. Nos objetivos do documento foi exposto que o conflito fundamental era a preservação do estado democrático de direito, da soberania e da integridade territorial; em outras palavras, a defesa da nação na definição clássica. A orientação estratégica brasileira, portanto, era de dissuasão defensiva</w:t>
      </w:r>
      <w:r>
        <w:rPr>
          <w:rStyle w:val="Ncoradanotaderodap"/>
          <w:rFonts w:eastAsia="Times New Roman" w:cs="Times New Roman" w:ascii="Times New Roman" w:hAnsi="Times New Roman"/>
          <w:sz w:val="24"/>
          <w:szCs w:val="24"/>
          <w:lang w:val="pt-BR"/>
        </w:rPr>
        <w:footnoteReference w:id="3"/>
      </w:r>
      <w:r>
        <w:rPr>
          <w:rFonts w:eastAsia="Times New Roman" w:cs="Times New Roman" w:ascii="Times New Roman" w:hAnsi="Times New Roman"/>
          <w:sz w:val="24"/>
          <w:szCs w:val="24"/>
          <w:lang w:val="pt-BR"/>
        </w:rPr>
        <w:t>, tendo como diretrizes o estímulo à paz e ao desenvolvimento, o desarmamento e a integração regional. É importante notar que na PDN era prevista uma modernização das capacidades militares para que o Brasil pudesse enfrentar qualquer desafio imposto e que, para isso, as Forças Armadas contariam com todos estratos da sociedade - iniciando um novo relacionamento entre os civis e militares. Há de se destacar, também, que a ausência de um projeto nacional e de defesa mais amplo atrasava uma coesão maior entre esses agentes da defesa nacional (SANTANA, 2006; PAGLARI, 2009).</w:t>
      </w:r>
    </w:p>
    <w:p>
      <w:pPr>
        <w:pStyle w:val="Normal"/>
        <w:spacing w:lineRule="auto" w:line="360"/>
        <w:ind w:left="0" w:right="0" w:firstLine="720"/>
        <w:jc w:val="both"/>
        <w:rPr>
          <w:rFonts w:eastAsia="Times New Roman" w:cs="Times New Roman" w:ascii="Times New Roman" w:hAnsi="Times New Roman"/>
          <w:sz w:val="24"/>
          <w:szCs w:val="24"/>
          <w:lang w:val="pt-BR"/>
        </w:rPr>
      </w:pPr>
      <w:r>
        <w:rPr>
          <w:rFonts w:eastAsia="Times New Roman" w:cs="Times New Roman" w:ascii="Times New Roman" w:hAnsi="Times New Roman"/>
          <w:sz w:val="24"/>
          <w:szCs w:val="24"/>
          <w:lang w:val="pt-BR"/>
        </w:rPr>
        <w:t>Certamente, o marco institucional mais relevante do período foi a criação do Ministério da Defesa em 1999. Com isso, extinguiu-se o Estado Maior das Forças Armadas, que integrava as três forças (Aeronáutica, Exército e Marinha), e se submeteu, de fato, o poder militar ao poder político civil. Segundo Winand (2010), essa medida ajudou a melhorar o diálogo entre civis e militares, melhorou a imagem internacional do Brasil e permitiu o diálogo internacional intra-ministérios da defesa. Possibilitou, também, a maior transparência nos assuntos tangentes a defesa e auxiliou a organizar melhor as metas sobre o tema, permitindo, então, um aperfeiçoamento, que se provou útil na formulação dos documentos de segurança internacional futuros. Além disso, a capacidade de interação entre os militares e a sociedade civil ficou mais facilitada dada a submissão das forças armadas ao poder político civil, possibilitando a geração de sínteses positivas nas conversas e troca de informações.</w:t>
      </w:r>
    </w:p>
    <w:p>
      <w:pPr>
        <w:pStyle w:val="Normal"/>
        <w:spacing w:lineRule="auto" w:line="360"/>
        <w:ind w:left="0" w:right="0" w:firstLine="720"/>
        <w:jc w:val="both"/>
        <w:rPr>
          <w:rFonts w:eastAsia="Times New Roman" w:cs="Times New Roman" w:ascii="Times New Roman" w:hAnsi="Times New Roman"/>
          <w:sz w:val="24"/>
          <w:szCs w:val="24"/>
          <w:lang w:val="pt-BR"/>
        </w:rPr>
      </w:pPr>
      <w:r>
        <w:rPr>
          <w:rFonts w:eastAsia="Times New Roman" w:cs="Times New Roman" w:ascii="Times New Roman" w:hAnsi="Times New Roman"/>
          <w:sz w:val="24"/>
          <w:szCs w:val="24"/>
          <w:lang w:val="pt-BR"/>
        </w:rPr>
        <w:t xml:space="preserve">Com os ataques terroristas de 11 de setembro de 2001, </w:t>
      </w:r>
      <w:r>
        <w:rPr>
          <w:rFonts w:eastAsia="Times New Roman" w:cs="Times New Roman" w:ascii="Times New Roman" w:hAnsi="Times New Roman"/>
          <w:sz w:val="24"/>
          <w:szCs w:val="24"/>
          <w:shd w:fill="FFFFFF" w:val="clear"/>
          <w:lang w:val="pt-BR"/>
        </w:rPr>
        <w:t>a agenda de segurança</w:t>
      </w:r>
      <w:r>
        <w:rPr>
          <w:rFonts w:eastAsia="Times New Roman" w:cs="Times New Roman" w:ascii="Times New Roman" w:hAnsi="Times New Roman"/>
          <w:sz w:val="24"/>
          <w:szCs w:val="24"/>
          <w:lang w:val="pt-BR"/>
        </w:rPr>
        <w:t xml:space="preserve"> internacional </w:t>
      </w:r>
      <w:r>
        <w:rPr>
          <w:rFonts w:eastAsia="Times New Roman" w:cs="Times New Roman" w:ascii="Times New Roman" w:hAnsi="Times New Roman"/>
          <w:sz w:val="24"/>
          <w:szCs w:val="24"/>
          <w:lang w:val="pt-BR"/>
        </w:rPr>
        <w:t xml:space="preserve">ocidental </w:t>
      </w:r>
      <w:r>
        <w:rPr>
          <w:rFonts w:eastAsia="Times New Roman" w:cs="Times New Roman" w:ascii="Times New Roman" w:hAnsi="Times New Roman"/>
          <w:sz w:val="24"/>
          <w:szCs w:val="24"/>
          <w:lang w:val="pt-BR"/>
        </w:rPr>
        <w:t xml:space="preserve">se recrudesceu. As visões mais liberais sobre os conflitos, voltadas para a cooperação, interdependência, equilíbrio de poder e segurança conjunta, que foram propostas pelos próprios Estados Unidos com o final da Guerra Fria, foram marginalizadas e a </w:t>
      </w:r>
      <w:r>
        <w:rPr>
          <w:rFonts w:eastAsia="Times New Roman" w:cs="Times New Roman" w:ascii="Times New Roman" w:hAnsi="Times New Roman"/>
          <w:sz w:val="24"/>
          <w:szCs w:val="24"/>
          <w:shd w:fill="FFFFFF" w:val="clear"/>
          <w:lang w:val="pt-BR"/>
        </w:rPr>
        <w:t>securitização com viés mais realista, sob os conceitos de acúmulo de capacidades, balança de poder, dissuasão, militarismo e autoajuda,</w:t>
      </w:r>
      <w:r>
        <w:rPr>
          <w:rFonts w:eastAsia="Times New Roman" w:cs="Times New Roman" w:ascii="Times New Roman" w:hAnsi="Times New Roman"/>
          <w:sz w:val="24"/>
          <w:szCs w:val="24"/>
          <w:lang w:val="pt-BR"/>
        </w:rPr>
        <w:t xml:space="preserve"> voltou à tona. Nesse entremeio, o Brasil prestou solidariedade aos EUA mas não entrou junto com o “bloco ocidental” para conter o terrorismo no Afeganistão. Assim, basicamente, aconteceu o marco de desfecho da política de defesa no período Cardoso, uma vez que, a partir desse evento, os países começaram a reconsiderar as pautas primárias de defesa. (PAGLIARI, 2009)</w:t>
      </w:r>
    </w:p>
    <w:p>
      <w:pPr>
        <w:pStyle w:val="Normal"/>
        <w:spacing w:lineRule="auto" w:line="360"/>
        <w:jc w:val="both"/>
        <w:rPr>
          <w:rFonts w:eastAsia="Times New Roman" w:cs="Times New Roman" w:ascii="Times New Roman" w:hAnsi="Times New Roman"/>
          <w:sz w:val="24"/>
          <w:szCs w:val="24"/>
          <w:lang w:val="pt-BR"/>
        </w:rPr>
      </w:pPr>
      <w:r>
        <w:rPr>
          <w:rFonts w:eastAsia="Times New Roman" w:cs="Times New Roman" w:ascii="Times New Roman" w:hAnsi="Times New Roman"/>
          <w:sz w:val="24"/>
          <w:szCs w:val="24"/>
          <w:lang w:val="pt-BR"/>
        </w:rPr>
      </w:r>
    </w:p>
    <w:p>
      <w:pPr>
        <w:pStyle w:val="Normal"/>
        <w:spacing w:lineRule="auto" w:line="360"/>
        <w:jc w:val="both"/>
        <w:rPr>
          <w:rFonts w:eastAsia="Times New Roman" w:cs="Times New Roman" w:ascii="Times New Roman" w:hAnsi="Times New Roman"/>
          <w:b/>
          <w:sz w:val="24"/>
          <w:szCs w:val="24"/>
          <w:lang w:val="pt-BR"/>
        </w:rPr>
      </w:pPr>
      <w:r>
        <w:rPr>
          <w:rFonts w:eastAsia="Times New Roman" w:cs="Times New Roman" w:ascii="Times New Roman" w:hAnsi="Times New Roman"/>
          <w:b/>
          <w:sz w:val="24"/>
          <w:szCs w:val="24"/>
          <w:lang w:val="pt-BR"/>
        </w:rPr>
        <w:t>4</w:t>
      </w:r>
      <w:r>
        <w:rPr>
          <w:rFonts w:eastAsia="Times New Roman" w:cs="Times New Roman" w:ascii="Times New Roman" w:hAnsi="Times New Roman"/>
          <w:b/>
          <w:bCs/>
          <w:sz w:val="24"/>
          <w:szCs w:val="24"/>
          <w:lang w:val="pt-BR"/>
        </w:rPr>
        <w:t xml:space="preserve"> </w:t>
      </w:r>
      <w:r>
        <w:rPr>
          <w:rFonts w:eastAsia="Times New Roman" w:cs="Times New Roman" w:ascii="Times New Roman" w:hAnsi="Times New Roman"/>
          <w:b/>
          <w:sz w:val="24"/>
          <w:szCs w:val="24"/>
          <w:lang w:val="pt-BR"/>
        </w:rPr>
        <w:t>A Política Externa de Luís Inácio Lula da Silva</w:t>
      </w:r>
    </w:p>
    <w:p>
      <w:pPr>
        <w:pStyle w:val="Normal"/>
        <w:spacing w:lineRule="auto" w:line="360"/>
        <w:jc w:val="both"/>
        <w:rPr>
          <w:rFonts w:eastAsia="Times New Roman" w:cs="Times New Roman" w:ascii="Times New Roman" w:hAnsi="Times New Roman"/>
          <w:sz w:val="24"/>
          <w:szCs w:val="24"/>
          <w:lang w:val="pt-BR"/>
        </w:rPr>
      </w:pPr>
      <w:r>
        <w:rPr>
          <w:rFonts w:eastAsia="Times New Roman" w:cs="Times New Roman" w:ascii="Times New Roman" w:hAnsi="Times New Roman"/>
          <w:sz w:val="24"/>
          <w:szCs w:val="24"/>
          <w:lang w:val="pt-BR"/>
        </w:rPr>
        <w:t xml:space="preserve">        </w:t>
      </w:r>
      <w:r>
        <w:rPr>
          <w:rFonts w:eastAsia="Times New Roman" w:cs="Times New Roman" w:ascii="Times New Roman" w:hAnsi="Times New Roman"/>
          <w:sz w:val="24"/>
          <w:szCs w:val="24"/>
          <w:lang w:val="pt-BR"/>
        </w:rPr>
        <w:t>No governo Lula (2003-2010), o Brasil se inseriu de vez no paradigma do Estado Logístico, voltado para o fortalecimento nacional a partir de incentivos aos empreendimentos da sociedade. Em outras palavras, o Estado logístico recuperou o planejamento estratégico de desenvolvimento e exerceu a função de apoio e legitimação das iniciativas de outros atores econômicos e sociais. Esse Estado também denunciou os ganhos unilaterais de interdependência que se estabeleceu entre o Estado Normal e o centro hegemônico, recuperando estratégias de desenvolvimento e conferindo à PEB funções como o reforço da capacidade empresarial, assimilação de ciência e tecnologia, abertura dos mercados do Primeiro Mundo e estabelecimento de uma política de defesa nacional, autocentrando o desenvolvimento brasileiro e excluindo a dependência das grandes potências como opção de inserção (CERVO; BUENO, 2002). Celso Amorim, Ministro das Relações Exteriores do período, definiu a PEB como “ativa e altiva”, tendo papel substantivo na conformação de um projeto nacional.</w:t>
      </w:r>
    </w:p>
    <w:p>
      <w:pPr>
        <w:pStyle w:val="Normal"/>
        <w:spacing w:lineRule="auto" w:line="360"/>
        <w:ind w:left="0" w:right="0" w:firstLine="720"/>
        <w:jc w:val="both"/>
        <w:rPr>
          <w:rFonts w:eastAsia="Times New Roman" w:cs="Times New Roman" w:ascii="Times New Roman" w:hAnsi="Times New Roman"/>
          <w:sz w:val="24"/>
          <w:szCs w:val="24"/>
          <w:lang w:val="pt-BR"/>
        </w:rPr>
      </w:pPr>
      <w:r>
        <w:rPr>
          <w:rFonts w:eastAsia="Times New Roman" w:cs="Times New Roman" w:ascii="Times New Roman" w:hAnsi="Times New Roman"/>
          <w:sz w:val="24"/>
          <w:szCs w:val="24"/>
          <w:lang w:val="pt-BR"/>
        </w:rPr>
        <w:t xml:space="preserve">Ainda que não tenha havido ruptura significativa com paradigmas históricos da PEB, o governo deu nova roupagem e ênfases conceituais para as iniciativas da administração anterior. Durante seus mandatos, Lula imbuiu a diplomacia de um sentido tático-estratégico a partir de dimensões econômica, política e social (ALMEIDA, 2004). Essas novas feições da diplomacia reforçaram a atuação internacional do país especialmente com relação à América do Sul, aos organismos internacionais e às potências emergentes do sul; o governo buscou manter abertos os canais de negociação com o Primeiro Mundo, mas focou em reafirmar os interesses nacionais e o protagonismo do país nas relações internacionais (VIZENTINI, 2005). A partir dessas características, a PEB de Lula pode ser definida como de </w:t>
      </w:r>
      <w:r>
        <w:rPr>
          <w:rFonts w:eastAsia="Times New Roman" w:cs="Times New Roman" w:ascii="Times New Roman" w:hAnsi="Times New Roman"/>
          <w:i/>
          <w:iCs/>
          <w:sz w:val="24"/>
          <w:szCs w:val="24"/>
          <w:lang w:val="pt-BR"/>
        </w:rPr>
        <w:t>autonomia pela diversificação</w:t>
      </w:r>
      <w:r>
        <w:rPr>
          <w:rFonts w:eastAsia="Times New Roman" w:cs="Times New Roman" w:ascii="Times New Roman" w:hAnsi="Times New Roman"/>
          <w:sz w:val="24"/>
          <w:szCs w:val="24"/>
          <w:lang w:val="pt-BR"/>
        </w:rPr>
        <w:t>, através da qual, com a cooperação Sul-Sul, o país tinha interesse em alterar a geografia do poder mundial (VIGEVANI; CEPALUNI, 2007).</w:t>
      </w:r>
    </w:p>
    <w:p>
      <w:pPr>
        <w:pStyle w:val="Normal"/>
        <w:spacing w:lineRule="auto" w:line="360"/>
        <w:ind w:left="0" w:right="0" w:firstLine="720"/>
        <w:jc w:val="both"/>
        <w:rPr>
          <w:rFonts w:eastAsia="Times New Roman" w:cs="Times New Roman" w:ascii="Times New Roman" w:hAnsi="Times New Roman"/>
          <w:sz w:val="24"/>
          <w:szCs w:val="24"/>
          <w:lang w:val="pt-BR"/>
        </w:rPr>
      </w:pPr>
      <w:r>
        <w:rPr>
          <w:rFonts w:eastAsia="Times New Roman" w:cs="Times New Roman" w:ascii="Times New Roman" w:hAnsi="Times New Roman"/>
          <w:sz w:val="24"/>
          <w:szCs w:val="24"/>
          <w:lang w:val="pt-BR"/>
        </w:rPr>
        <w:t>A autonomia pela diversificação tinha como diretrizes contribuir para a busca de maior equilíbrio internacional, procurando atenuar o unilateralismo dos EUA; fortalecer relações bilaterais e multilaterais de forma a aumentar o peso do país nas negociações políticas e econômicas internacionais e de estruturar um maior diálogo com pequenas e médias potências; adensar relações diplomáticas no sentido de aproveitar as possibilidades de maior intercâmbio em diversas áreas; e evitar acordos que pudessem comprometer a longo prazo o desenvolvimento do país (VIGEVANI; CEPALUNI, 2007). O que se estabeleceu foi um globalismo industrialista (mesmo que posteriormente tenha havido uma reprimarização da pauta) com dois traços essenciais: o multilateralismo da reciprocidade e a internacionalização econômica (CERVO; BUENO, 2002).</w:t>
      </w:r>
    </w:p>
    <w:p>
      <w:pPr>
        <w:pStyle w:val="Normal"/>
        <w:spacing w:lineRule="auto" w:line="360"/>
        <w:ind w:left="0" w:right="0" w:firstLine="720"/>
        <w:jc w:val="both"/>
        <w:rPr>
          <w:rFonts w:eastAsia="Times New Roman" w:cs="Times New Roman" w:ascii="Times New Roman" w:hAnsi="Times New Roman"/>
          <w:sz w:val="24"/>
          <w:szCs w:val="24"/>
          <w:lang w:val="pt-BR"/>
        </w:rPr>
      </w:pPr>
      <w:r>
        <w:rPr>
          <w:rFonts w:eastAsia="Times New Roman" w:cs="Times New Roman" w:ascii="Times New Roman" w:hAnsi="Times New Roman"/>
          <w:sz w:val="24"/>
          <w:szCs w:val="24"/>
          <w:lang w:val="pt-BR"/>
        </w:rPr>
        <w:t>No período, o Brasil suplantou a passividade e buscou alianças fora do hemisférico como forma de ampliar seu poder e influência. Interessado em contribuir para o estabelecimento de um Sistema Internacional multipolar e em construir um espaço maior de barganha, o país procurou ocupar espaços desocupados na diplomacia, estabelecendo parcerias estratégicas com potências emergentes (entre as quais destacam-se a criação dos BRICS e do IBAS e o fortalecimento da política africana) e dando prioridade total para a Integração sul americana (VIZENTINI, 2005). A relação com os EUA nesse contexto era vista como importante, mas não essencial, ainda que o país fosse um dos grandes parceiros econômicos do Brasil.</w:t>
      </w:r>
    </w:p>
    <w:p>
      <w:pPr>
        <w:pStyle w:val="Normal"/>
        <w:spacing w:lineRule="auto" w:line="360"/>
        <w:ind w:left="0" w:right="0" w:firstLine="720"/>
        <w:jc w:val="both"/>
        <w:rPr>
          <w:rFonts w:eastAsia="Times New Roman" w:cs="Times New Roman" w:ascii="Times New Roman" w:hAnsi="Times New Roman"/>
          <w:sz w:val="24"/>
          <w:szCs w:val="24"/>
          <w:lang w:val="pt-BR"/>
        </w:rPr>
      </w:pPr>
      <w:r>
        <w:rPr>
          <w:rFonts w:eastAsia="Times New Roman" w:cs="Times New Roman" w:ascii="Times New Roman" w:hAnsi="Times New Roman"/>
          <w:sz w:val="24"/>
          <w:szCs w:val="24"/>
          <w:lang w:val="pt-BR"/>
        </w:rPr>
        <w:t>O Mercosul era tido como a prioridade mais importante do governo, que o via como uma base material para a união política da América do Sul, como meio de livrar a região de influências externas e como instrumento para reforçar o poder de barganha internacional e criar um polo regional para realizar as metas do multilateralismo e de globalização. A criação da UNASUL nesse contexto teve objetivos políticos, geopolíticos e econômicos, aumentando a interdependência entre os países no cenário internacional, criando a ênfase na segurança regional e promovendo a integração produtiva, energética e de infraestrutura (CERVO; BUENO, 2002).</w:t>
      </w:r>
    </w:p>
    <w:p>
      <w:pPr>
        <w:pStyle w:val="Normal"/>
        <w:spacing w:lineRule="auto" w:line="360"/>
        <w:ind w:left="0" w:right="0" w:firstLine="720"/>
        <w:jc w:val="both"/>
        <w:rPr>
          <w:rFonts w:eastAsia="Times New Roman" w:cs="Times New Roman" w:ascii="Times New Roman" w:hAnsi="Times New Roman"/>
          <w:sz w:val="24"/>
          <w:szCs w:val="24"/>
          <w:lang w:val="pt-BR"/>
        </w:rPr>
      </w:pPr>
      <w:r>
        <w:rPr>
          <w:rFonts w:eastAsia="Times New Roman" w:cs="Times New Roman" w:ascii="Times New Roman" w:hAnsi="Times New Roman"/>
          <w:sz w:val="24"/>
          <w:szCs w:val="24"/>
          <w:lang w:val="pt-BR"/>
        </w:rPr>
        <w:t>Durante o governo Lula o país participou ativamente de foros internacionais, buscando reforçar sua atuação em âmbito global. Enquanto FHC aceitava o princípio dos “mais iguais” e aderia implicitamente ao Consenso de Washington, Lula defendia a igualdade entre todos os países e recusava os princípios do Consenso. Lula também adotou uma postura crítica frente à globalização e à abertura comercial, defendendo a soberania econômica e as políticas setoriais de desenvolvimento (ALMEIDA, 2004).</w:t>
      </w:r>
    </w:p>
    <w:p>
      <w:pPr>
        <w:pStyle w:val="Normal"/>
        <w:spacing w:lineRule="auto" w:line="360"/>
        <w:ind w:left="0" w:right="0" w:firstLine="720"/>
        <w:jc w:val="both"/>
        <w:rPr>
          <w:rFonts w:eastAsia="Times New Roman" w:cs="Times New Roman" w:ascii="Times New Roman" w:hAnsi="Times New Roman"/>
          <w:sz w:val="24"/>
          <w:szCs w:val="24"/>
          <w:lang w:val="pt-BR"/>
        </w:rPr>
      </w:pPr>
      <w:r>
        <w:rPr>
          <w:rFonts w:eastAsia="Times New Roman" w:cs="Times New Roman" w:ascii="Times New Roman" w:hAnsi="Times New Roman"/>
          <w:sz w:val="24"/>
          <w:szCs w:val="24"/>
          <w:lang w:val="pt-BR"/>
        </w:rPr>
        <w:t>A noção que prevalecia na PEB era de que acordos com parceiros não tradicionais reduziriam as assimetrias nas relações exteriores e aumentariam a capacidade negociadora nacional (VIGEVANI; CEPALUNI, 2007). Havia a ideia de que liderança brasileira não estava restrita ao âmbito regional, e esse ativismo diplomático era tido como o meio de alcançar uma posição de evidência no sistema internacional. Por isso, o país deu grande atenção à tentativa de obter um assento permanente no Conselho de Segurança da ONU, se estruturando para reunir as capacidades de exercer um papel de maior responsabilidade no cenário externo (ALMEIDA, 2004).</w:t>
        <w:tab/>
      </w:r>
    </w:p>
    <w:p>
      <w:pPr>
        <w:pStyle w:val="Normal"/>
        <w:spacing w:lineRule="auto" w:line="360"/>
        <w:jc w:val="both"/>
        <w:rPr>
          <w:rFonts w:eastAsia="Times New Roman" w:cs="Times New Roman" w:ascii="Times New Roman" w:hAnsi="Times New Roman"/>
          <w:sz w:val="24"/>
          <w:szCs w:val="24"/>
          <w:lang w:val="pt-BR"/>
        </w:rPr>
      </w:pPr>
      <w:r>
        <w:rPr>
          <w:rFonts w:eastAsia="Times New Roman" w:cs="Times New Roman" w:ascii="Times New Roman" w:hAnsi="Times New Roman"/>
          <w:sz w:val="24"/>
          <w:szCs w:val="24"/>
          <w:lang w:val="pt-BR"/>
        </w:rPr>
        <w:t xml:space="preserve">            </w:t>
      </w:r>
    </w:p>
    <w:p>
      <w:pPr>
        <w:pStyle w:val="Normal"/>
        <w:spacing w:lineRule="auto" w:line="360"/>
        <w:rPr>
          <w:rFonts w:eastAsia="Times New Roman" w:cs="Times New Roman" w:ascii="Times New Roman" w:hAnsi="Times New Roman"/>
          <w:b/>
          <w:sz w:val="24"/>
          <w:szCs w:val="24"/>
          <w:lang w:val="pt-BR"/>
        </w:rPr>
      </w:pPr>
      <w:r>
        <w:rPr>
          <w:rFonts w:eastAsia="Times New Roman" w:cs="Times New Roman" w:ascii="Times New Roman" w:hAnsi="Times New Roman"/>
          <w:b/>
          <w:sz w:val="24"/>
          <w:szCs w:val="24"/>
          <w:lang w:val="pt-BR"/>
        </w:rPr>
        <w:t>5 A Política de Defesa de Luís Inácio Lula da Silva</w:t>
      </w:r>
    </w:p>
    <w:p>
      <w:pPr>
        <w:pStyle w:val="Normal"/>
        <w:spacing w:lineRule="auto" w:line="360"/>
        <w:jc w:val="both"/>
        <w:rPr>
          <w:rFonts w:eastAsia="Times New Roman" w:cs="Times New Roman" w:ascii="Times New Roman" w:hAnsi="Times New Roman"/>
          <w:sz w:val="24"/>
          <w:szCs w:val="24"/>
          <w:lang w:val="pt-BR"/>
        </w:rPr>
      </w:pPr>
      <w:r>
        <w:rPr>
          <w:rFonts w:eastAsia="Times New Roman" w:cs="Times New Roman" w:ascii="Times New Roman" w:hAnsi="Times New Roman"/>
          <w:color w:val="00FF00"/>
          <w:sz w:val="24"/>
          <w:szCs w:val="24"/>
          <w:shd w:fill="FFFFFF" w:val="clear"/>
          <w:lang w:val="pt-BR"/>
        </w:rPr>
        <w:tab/>
      </w:r>
      <w:r>
        <w:rPr>
          <w:rFonts w:eastAsia="Times New Roman" w:cs="Times New Roman" w:ascii="Times New Roman" w:hAnsi="Times New Roman"/>
          <w:sz w:val="24"/>
          <w:szCs w:val="24"/>
          <w:lang w:val="pt-BR"/>
        </w:rPr>
        <w:t xml:space="preserve">O discurso firmado na mudança da política de defesa já surge na campanha de Lula para a Presidência, com diversas propostas novas, tais como reforços nas regiões de fronteira, com foco na Amazônia, investimentos na área de inteligência, revogação do TIAR, melhoramento do equipamento, aumento o orçamento em relação ao PIB, e investimentos em Pesquisa e Treinamento (WINAND; SAINT-PIERRE, 2010). Basicamente, a política de defesa do governo Lula foi balizada por três documentos, sendo que o último foi concluído oficialmente apenas no governo Dilma:  </w:t>
      </w:r>
    </w:p>
    <w:p>
      <w:pPr>
        <w:pStyle w:val="Normal"/>
        <w:spacing w:lineRule="auto" w:line="360"/>
        <w:jc w:val="both"/>
        <w:rPr>
          <w:rFonts w:cs="Times New Roman" w:ascii="Times New Roman" w:hAnsi="Times New Roman"/>
          <w:sz w:val="24"/>
          <w:szCs w:val="24"/>
          <w:lang w:val="pt-BR"/>
        </w:rPr>
      </w:pPr>
      <w:r>
        <w:rPr>
          <w:rFonts w:cs="Times New Roman" w:ascii="Times New Roman" w:hAnsi="Times New Roman"/>
          <w:sz w:val="24"/>
          <w:szCs w:val="24"/>
          <w:lang w:val="pt-BR"/>
        </w:rPr>
      </w:r>
    </w:p>
    <w:p>
      <w:pPr>
        <w:pStyle w:val="Normal"/>
        <w:spacing w:lineRule="auto" w:line="360"/>
        <w:ind w:left="2268" w:right="0" w:hanging="0"/>
        <w:jc w:val="both"/>
        <w:rPr>
          <w:rFonts w:eastAsia="Times New Roman" w:cs="Times New Roman" w:ascii="Times New Roman" w:hAnsi="Times New Roman"/>
          <w:sz w:val="20"/>
          <w:szCs w:val="20"/>
          <w:lang w:val="pt-BR"/>
        </w:rPr>
      </w:pPr>
      <w:r>
        <w:rPr>
          <w:rFonts w:eastAsia="Times New Roman" w:cs="Times New Roman" w:ascii="Times New Roman" w:hAnsi="Times New Roman"/>
          <w:sz w:val="20"/>
          <w:szCs w:val="20"/>
          <w:lang w:val="pt-BR"/>
        </w:rPr>
        <w:t>“</w:t>
      </w:r>
      <w:r>
        <w:rPr>
          <w:rFonts w:eastAsia="Times New Roman" w:cs="Times New Roman" w:ascii="Times New Roman" w:hAnsi="Times New Roman"/>
          <w:sz w:val="20"/>
          <w:szCs w:val="20"/>
          <w:lang w:val="pt-BR"/>
        </w:rPr>
        <w:t>A Política de Defesa Nacional (PDN), aprovada em 2005, é o principal documento de planejamento da defesa do Brasil. A Estratégia Nacional de Defesa (END), elaborada no ano de 2008, por sua vez, busca definir como operacionalizar aquilo que se determinou na PDN. Finalmente, o Livro Branco de Defesa Nacional, lançado em 2012, é um documento público que tem por objetivo permitir o acesso à informação sobre o setor de defesa brasileiro”. (SILVA, 2014: 72)</w:t>
      </w:r>
    </w:p>
    <w:p>
      <w:pPr>
        <w:pStyle w:val="Normal"/>
        <w:spacing w:lineRule="auto" w:line="360"/>
        <w:ind w:left="2268" w:right="0" w:hanging="0"/>
        <w:jc w:val="both"/>
        <w:rPr>
          <w:rFonts w:cs="Times New Roman" w:ascii="Times New Roman" w:hAnsi="Times New Roman"/>
          <w:sz w:val="24"/>
          <w:szCs w:val="24"/>
          <w:lang w:val="pt-BR"/>
        </w:rPr>
      </w:pPr>
      <w:r>
        <w:rPr>
          <w:rFonts w:cs="Times New Roman" w:ascii="Times New Roman" w:hAnsi="Times New Roman"/>
          <w:sz w:val="24"/>
          <w:szCs w:val="24"/>
          <w:lang w:val="pt-BR"/>
        </w:rPr>
      </w:r>
    </w:p>
    <w:p>
      <w:pPr>
        <w:pStyle w:val="Normal"/>
        <w:spacing w:lineRule="auto" w:line="360"/>
        <w:jc w:val="both"/>
        <w:rPr>
          <w:rFonts w:eastAsia="Times New Roman" w:cs="Times New Roman" w:ascii="Times New Roman" w:hAnsi="Times New Roman"/>
          <w:sz w:val="24"/>
          <w:szCs w:val="24"/>
          <w:lang w:val="pt-BR"/>
        </w:rPr>
      </w:pPr>
      <w:r>
        <w:rPr>
          <w:rFonts w:eastAsia="Times New Roman" w:cs="Times New Roman" w:ascii="Times New Roman" w:hAnsi="Times New Roman"/>
          <w:sz w:val="24"/>
          <w:szCs w:val="24"/>
          <w:lang w:val="pt-BR"/>
        </w:rPr>
        <w:tab/>
        <w:t>Cabe aqui analisar tais documentos. De acordo com Corrêa (2014), pode-se estabelecer o âmbito e objetivos de cada um desse modo: a PDN seria o principal documento do governo para elaborar suas políticas de defesa e estabelecer objetivos que devem ser seguidos para equipar e preparar as Forças Armadas; a END é documento que define os meios para cumprir os objetivos da Política de Defesa; e o Livro Branco de Defesa Nacional (LBDN) é o que analisa as perspectivas a médio e longo prazo do setor e busca a transparência dos dados estratégicos das Forças Armadas. O LBDN foi o resultado de uma demanda que existia para uma maior transparência quanto a esse tipo de informação, visto que quase todos os países publicavam periodicamente esses dados. Apesar de ter sido iniciado no governo Lula, o resultado final do trabalho da comissão interministerial composta para debater o assunto foi publicado sob a forma do LBDN apenas em 2012, já no governo Dilma Rousseff (CORRÊA, 2014; OLIVEIRA, BRITES, MUNHOZ, 2012). Foge, portanto, da delimitação do presente trabalho.</w:t>
      </w:r>
    </w:p>
    <w:p>
      <w:pPr>
        <w:pStyle w:val="Normal"/>
        <w:spacing w:lineRule="auto" w:line="360"/>
        <w:ind w:left="0" w:right="0" w:firstLine="720"/>
        <w:jc w:val="both"/>
        <w:rPr>
          <w:rFonts w:eastAsia="Times New Roman" w:cs="Times New Roman" w:ascii="Times New Roman" w:hAnsi="Times New Roman"/>
          <w:sz w:val="24"/>
          <w:szCs w:val="24"/>
          <w:lang w:val="pt-BR"/>
        </w:rPr>
      </w:pPr>
      <w:r>
        <w:rPr>
          <w:rFonts w:eastAsia="Times New Roman" w:cs="Times New Roman" w:ascii="Times New Roman" w:hAnsi="Times New Roman"/>
          <w:sz w:val="24"/>
          <w:szCs w:val="24"/>
          <w:lang w:val="pt-BR"/>
        </w:rPr>
        <w:t>Desse modo, a institucionalização das políticas de defesa ganhou um novo caráter - claramente mais firme e altivo - a partir de 2005, com a publicação da nova versão da PDN. Conforme diz Soares (2011, p. 74), essa nova orientação vai distinguir os processos decisórios: os governos terão que tomar as decisões políticas e de estratégia, enquanto as Forças Armadas são as executoras.</w:t>
      </w:r>
    </w:p>
    <w:p>
      <w:pPr>
        <w:pStyle w:val="Normal"/>
        <w:spacing w:lineRule="auto" w:line="360"/>
        <w:ind w:left="0" w:right="0" w:firstLine="720"/>
        <w:jc w:val="both"/>
        <w:rPr>
          <w:rFonts w:eastAsia="Times New Roman" w:cs="Times New Roman" w:ascii="Times New Roman" w:hAnsi="Times New Roman"/>
          <w:sz w:val="24"/>
          <w:szCs w:val="24"/>
          <w:lang w:val="pt-BR"/>
        </w:rPr>
      </w:pPr>
      <w:r>
        <w:rPr>
          <w:rFonts w:eastAsia="Times New Roman" w:cs="Times New Roman" w:ascii="Times New Roman" w:hAnsi="Times New Roman"/>
          <w:sz w:val="24"/>
          <w:szCs w:val="24"/>
          <w:lang w:val="pt-BR"/>
        </w:rPr>
        <w:t>O Decreto nº 5.484, de 30 de junho de 2005, estabeleceu a Política de Defesa Nacional, cuja intenção era revisar a sua versão de 1996. Ela refletiu as alterações de governo - nas políticas de defesa e externa - e nas percepções do que estava ocorrendo no sistema internacional (MATTOS, 2013, p.19). O documento foi definido como “condicionante de mais alto nível do planejamento de ações destinadas à defesa nacional coordenadas pelo Ministério da Defesa” (BRASIL, 2005), interligando o desenvolvimento nacional à garantia da defesa. Esse documento teve um grande apoio de quadros militares para a sua produção</w:t>
      </w:r>
      <w:r>
        <w:rPr>
          <w:rStyle w:val="Ncoradanotaderodap"/>
          <w:rFonts w:eastAsia="Times New Roman" w:cs="Times New Roman" w:ascii="Times New Roman" w:hAnsi="Times New Roman"/>
          <w:sz w:val="24"/>
          <w:szCs w:val="24"/>
          <w:lang w:val="pt-BR"/>
        </w:rPr>
        <w:footnoteReference w:id="4"/>
      </w:r>
      <w:r>
        <w:rPr>
          <w:rFonts w:eastAsia="Times New Roman" w:cs="Times New Roman" w:ascii="Times New Roman" w:hAnsi="Times New Roman"/>
          <w:sz w:val="24"/>
          <w:szCs w:val="24"/>
          <w:lang w:val="pt-BR"/>
        </w:rPr>
        <w:t>, mas ainda assim não introduziu de modo suficiente o debate à sociedade civil, mesmo destacando a importância em conscientizar a população (WINAND; SAINT-PIERRE, 2010; OLIVEIRA; VIANA, 2011, p. 4).</w:t>
      </w:r>
    </w:p>
    <w:p>
      <w:pPr>
        <w:pStyle w:val="Normal"/>
        <w:spacing w:lineRule="auto" w:line="360"/>
        <w:ind w:left="0" w:right="0" w:firstLine="720"/>
        <w:jc w:val="both"/>
        <w:rPr>
          <w:rFonts w:eastAsia="Times New Roman" w:cs="Times New Roman" w:ascii="Times New Roman" w:hAnsi="Times New Roman"/>
          <w:sz w:val="24"/>
          <w:szCs w:val="24"/>
          <w:lang w:val="pt-BR"/>
        </w:rPr>
      </w:pPr>
      <w:r>
        <w:rPr>
          <w:rFonts w:eastAsia="Times New Roman" w:cs="Times New Roman" w:ascii="Times New Roman" w:hAnsi="Times New Roman"/>
          <w:sz w:val="24"/>
          <w:szCs w:val="24"/>
          <w:lang w:val="pt-BR"/>
        </w:rPr>
        <w:t>Todavia, a PDN estava conectada ao que busca a política externa brasileira e com os seus principais valores, percepções de ameaça e orientações estratégicas. Fazia uma breve análise do cenário internacional, denotando a assimetria de poder no sistema e dando destaque para os conflitos regionais, de baixa intensidade (SILVA, 2008). O documento também levantava a questão de que instabilidade e crimes transnacionais – narcotráfico e guerrilhas – poderiam provocar o transbordamento de conflitos de outros países da América do Sul para o Brasil. Assim, se afirmava o Brasil como tendo interesses regionais para sua própria segurança (CORRÊA, 2014). Entre as preocupações de segurança constavam as fontes de água e demais recursos energéticos, a Amazônia Legal e a Amazônia Azul</w:t>
      </w:r>
      <w:r>
        <w:rPr>
          <w:rStyle w:val="Ncoradanotaderodap"/>
          <w:rFonts w:eastAsia="Times New Roman" w:cs="Times New Roman" w:ascii="Times New Roman" w:hAnsi="Times New Roman"/>
          <w:sz w:val="24"/>
          <w:szCs w:val="24"/>
          <w:lang w:val="pt-BR"/>
        </w:rPr>
        <w:footnoteReference w:id="5"/>
      </w:r>
      <w:r>
        <w:rPr>
          <w:rFonts w:eastAsia="Times New Roman" w:cs="Times New Roman" w:ascii="Times New Roman" w:hAnsi="Times New Roman"/>
          <w:sz w:val="24"/>
          <w:szCs w:val="24"/>
          <w:lang w:val="pt-BR"/>
        </w:rPr>
        <w:t>, o Atlântico Sul, dentre outros (OLIVEIRA; VIANA, 2011, p. 4). Desses, a prioridade era dada para a Amazônia e o Atlântico Sul - Amazônia pelas riquezas naturais, e o Atlântico Sul, além das riquezas (ainda não havia sido descoberto o pré-sal), também pela importância estratégica para o comércio nacional. Para alcançar esses objetivos, era estimulada a cooperação com a América do Sul e com a África (CORRÊA, 2014; SILVA, 2008). A PEB, no que se referia a PDN, era “caracterizada pelo fortalecimento do multilateralismo, pelo reforço da interação sul-americana, pela busca de soluções pacíficas de controvérsias e pela consolidação da paz e segurança internacionais” (SILVA, 2014, p. 72).</w:t>
      </w:r>
    </w:p>
    <w:p>
      <w:pPr>
        <w:pStyle w:val="Normal"/>
        <w:spacing w:lineRule="auto" w:line="360"/>
        <w:ind w:left="0" w:right="0" w:firstLine="720"/>
        <w:jc w:val="both"/>
        <w:rPr>
          <w:rFonts w:eastAsia="Times New Roman" w:cs="Times New Roman" w:ascii="Times New Roman" w:hAnsi="Times New Roman"/>
          <w:sz w:val="24"/>
          <w:szCs w:val="24"/>
          <w:lang w:val="pt-BR"/>
        </w:rPr>
      </w:pPr>
      <w:r>
        <w:rPr>
          <w:rFonts w:eastAsia="Times New Roman" w:cs="Times New Roman" w:ascii="Times New Roman" w:hAnsi="Times New Roman"/>
          <w:sz w:val="24"/>
          <w:szCs w:val="24"/>
          <w:lang w:val="pt-BR"/>
        </w:rPr>
        <w:t>Porém, é importante ressaltar que esse novo documento, que marcou uma mudança na política de defesa do governo, também foi alvo de críticas. É argumentado que alguns traços se mantiveram da PDN anterior, do governo FHC, mesmo com a mudança geral de postura e enfoque que o governo Lula mostrou em relação ao anterior. Mesmo na nova PDN, cada força (Exército, Marinha e Aeronáutica) ainda tinha certa autonomia para buscar objetivos próprios, sem preocupação com compatibilidade ou complementariedade com as outras forças (CORRÊA, 2014). Como dito, a participação da sociedade ficou aquém do esperado na elaboração do documento, mesmo que tenha sido maior que na PDN de 1996. Além disso, o documento não era preciso no estabelecimento de diretrizes e não tratava em profundidade determinados aspectos, mantendo uma posição cautelosa em alguns pontos (CORRÊA, 2014; SILVA, 2008).</w:t>
      </w:r>
    </w:p>
    <w:p>
      <w:pPr>
        <w:pStyle w:val="Normal"/>
        <w:spacing w:lineRule="auto" w:line="360"/>
        <w:ind w:left="0" w:right="0" w:firstLine="720"/>
        <w:jc w:val="both"/>
        <w:rPr>
          <w:rFonts w:eastAsia="Times New Roman" w:cs="Times New Roman" w:ascii="Times New Roman" w:hAnsi="Times New Roman"/>
          <w:sz w:val="24"/>
          <w:szCs w:val="24"/>
          <w:lang w:val="pt-BR"/>
        </w:rPr>
      </w:pPr>
      <w:r>
        <w:rPr>
          <w:rFonts w:eastAsia="Times New Roman" w:cs="Times New Roman" w:ascii="Times New Roman" w:hAnsi="Times New Roman"/>
          <w:sz w:val="24"/>
          <w:szCs w:val="24"/>
          <w:lang w:val="pt-BR"/>
        </w:rPr>
        <w:t>Em 2005, a primeira reunião da CASA (Comunidade Sul-Americana das Nações), que mais tarde tornar-se-ia a UNASUL, ocorreu em Brasília e mostrou o compromisso brasileiro com a criação de um complexo regional de segurança (GUIMARÃES, 2012, p. 83). A PND adotara o conceito de entorno estratégico, plasmando a vontade do governo de inserir-se em assuntos também no âmbito securitário. Segundo o conceito, para a consecução dos objetivos de defesa nacional, havia a necessidade de proteção extraterritorial - assegurar certos objetivos em território estrangeiro. A possibilidade de intervenção e ingerência em assuntos externos não era considerada, visto a tradição da diplomacia brasileira. Assim, reconhecia-se tacitamente a necessidade de cooperação para a defesa efetiva. Para isso, haveria uma tentativa de consolidação de um complexo de segurança regional dentro do âmbito da UNASUL.</w:t>
      </w:r>
    </w:p>
    <w:p>
      <w:pPr>
        <w:pStyle w:val="Normal"/>
        <w:spacing w:lineRule="auto" w:line="360"/>
        <w:ind w:left="0" w:right="0" w:firstLine="720"/>
        <w:jc w:val="both"/>
        <w:rPr>
          <w:rFonts w:eastAsia="Times New Roman" w:cs="Times New Roman" w:ascii="Times New Roman" w:hAnsi="Times New Roman"/>
          <w:sz w:val="24"/>
          <w:szCs w:val="24"/>
          <w:lang w:val="pt-BR"/>
        </w:rPr>
      </w:pPr>
      <w:r>
        <w:rPr>
          <w:rFonts w:eastAsia="Times New Roman" w:cs="Times New Roman" w:ascii="Times New Roman" w:hAnsi="Times New Roman"/>
          <w:sz w:val="24"/>
          <w:szCs w:val="24"/>
          <w:lang w:val="pt-BR"/>
        </w:rPr>
        <w:t>Todavia, as principais mudanças do governo Lula frente às políticas de defesa se deram a partir de 2007</w:t>
      </w:r>
      <w:r>
        <w:rPr>
          <w:rStyle w:val="Ncoradanotaderodap"/>
          <w:rFonts w:eastAsia="Times New Roman" w:cs="Times New Roman" w:ascii="Times New Roman" w:hAnsi="Times New Roman"/>
          <w:sz w:val="24"/>
          <w:szCs w:val="24"/>
          <w:lang w:val="pt-BR"/>
        </w:rPr>
        <w:footnoteReference w:id="6"/>
      </w:r>
      <w:r>
        <w:rPr>
          <w:rFonts w:eastAsia="Times New Roman" w:cs="Times New Roman" w:ascii="Times New Roman" w:hAnsi="Times New Roman"/>
          <w:sz w:val="24"/>
          <w:szCs w:val="24"/>
          <w:lang w:val="pt-BR"/>
        </w:rPr>
        <w:t>, com o ministro Nelson Jobim na pasta da Defesa, e Mangabeira Unger como Ministro de Assuntos Estratégicos, na Secretaria de Assuntos Estratégicos (SOARES, 2011, p. 83). A partir daí, o MD passou a agir de forma mais atuante na agenda de política externa. Iniciou-se um esforço para refletir opiniões de grupos de pressões e classes sociais na política e as mudanças econômicas que ocorreram durante esse período influenciam o posicionamento do Brasil no cenário internacional. A nova participação do país como uma das maiores economias mundiais ofereceu credenciais para tornar “a política de defesa mais consistente e com prioridade mais elevada” (SOARES, 2011, p. 83).</w:t>
      </w:r>
    </w:p>
    <w:p>
      <w:pPr>
        <w:pStyle w:val="Normal"/>
        <w:spacing w:lineRule="auto" w:line="360"/>
        <w:ind w:left="0" w:right="0" w:firstLine="720"/>
        <w:jc w:val="both"/>
        <w:rPr>
          <w:rFonts w:eastAsia="Times New Roman" w:cs="Times New Roman" w:ascii="Times New Roman" w:hAnsi="Times New Roman"/>
          <w:sz w:val="24"/>
          <w:szCs w:val="24"/>
          <w:lang w:val="pt-BR"/>
        </w:rPr>
      </w:pPr>
      <w:r>
        <w:rPr>
          <w:rFonts w:eastAsia="Times New Roman" w:cs="Times New Roman" w:ascii="Times New Roman" w:hAnsi="Times New Roman"/>
          <w:sz w:val="24"/>
          <w:szCs w:val="24"/>
          <w:lang w:val="pt-BR"/>
        </w:rPr>
        <w:t>A END foi aprovada pelo Decreto nº 6.703, de 18 de dezembro de 2008. Segundo Oliveira e Viana (2011), a END não era orientada para a atuação externa do país, apesar de afirmar logo nas páginas iniciais que a intenção brasileira não era ascender “sem buscar hegemonia” (BRASIL, 2008, p. 8). Elaborada por uma comissão interministerial - presidida pelo MD e coordenada pela SAE - se focava no médio e longo prazo, com o objetivo da modernização da defesa nacional. O novo documento abordava temas que haviam sido negligenciados anteriormente, como a composição organizacional e as práticas operacionais das forças armadas (OLIVEIRA, BRITES, MUNHOZ, 2012). Soares critica que o documento não faz menção ao PDN (2011, p. 76) e pode ser um indicativo da falta de convergência entre o novo Ministério da Defesa em relação aos militares que participaram da criação do documento anterior.  O ponto de partida da END seria a nova posição brasileira de ascensão e destaque, da segunda metade dos anos 2000. A nova orientação estratégica teria três linhas fundamentais: reorganização das Forças Armadas, reestruturação da indústria brasileira de material de defesa, e composição dos efetivos das Forças Armadas (OLIVEIRA, BRITES, MUNHOZ, 2012; OLIVEIRA, VIANA, 2011). A reorganização das Forças Armadas foi pensada em três setores: nuclear, espacial e cibernético - a cargo da Marinha, Aeronáutica e Exército, respectivamente (BRASIL, 2008, p. 6)</w:t>
      </w:r>
    </w:p>
    <w:p>
      <w:pPr>
        <w:pStyle w:val="Normal"/>
        <w:spacing w:lineRule="auto" w:line="360"/>
        <w:ind w:left="0" w:right="0" w:firstLine="720"/>
        <w:jc w:val="both"/>
        <w:rPr>
          <w:rFonts w:eastAsia="Times New Roman" w:cs="Times New Roman" w:ascii="Times New Roman" w:hAnsi="Times New Roman"/>
          <w:sz w:val="24"/>
          <w:szCs w:val="24"/>
          <w:lang w:val="pt-BR"/>
        </w:rPr>
      </w:pPr>
      <w:r>
        <w:rPr>
          <w:rFonts w:eastAsia="Times New Roman" w:cs="Times New Roman" w:ascii="Times New Roman" w:hAnsi="Times New Roman"/>
          <w:sz w:val="24"/>
          <w:szCs w:val="24"/>
          <w:lang w:val="pt-BR"/>
        </w:rPr>
        <w:t>Também focava nas chamadas novas ameaças à soberania do Estado, como o tráfico de armamentos e de drogas transfronteiriços. Como o Brasil não teria inimigos diretos, a diretriz principal seria focar-se na capacitação das forças armadas. A defesa nacional seria garantida com a capacidade de dissuadir a concentração de forças hostis nas fronteiras e aguas territoriais. Para isso, a END propunha uma melhor distribuição das forças pelo território nacional (CORRÊA, 2014). Apresentava-se também a discussão sobre a permanência (e importância) do Serviço Militar Obrigatório, bem como a convocação da população brasileira para a participar na sua elaboração e ampliar a participação dos civis nos quadros do Ministério da Defesa, uma sinalização de um documento mais democrático e conectado com a sociedade civil do que os anteriores.</w:t>
      </w:r>
    </w:p>
    <w:p>
      <w:pPr>
        <w:pStyle w:val="Normal"/>
        <w:spacing w:lineRule="auto" w:line="360"/>
        <w:ind w:left="0" w:right="0" w:firstLine="720"/>
        <w:jc w:val="both"/>
        <w:rPr>
          <w:rFonts w:eastAsia="Times New Roman" w:cs="Times New Roman" w:ascii="Times New Roman" w:hAnsi="Times New Roman"/>
          <w:sz w:val="24"/>
          <w:szCs w:val="24"/>
          <w:lang w:val="pt-BR"/>
        </w:rPr>
      </w:pPr>
      <w:r>
        <w:rPr>
          <w:rFonts w:eastAsia="Times New Roman" w:cs="Times New Roman" w:ascii="Times New Roman" w:hAnsi="Times New Roman"/>
          <w:sz w:val="24"/>
          <w:szCs w:val="24"/>
          <w:lang w:val="pt-BR"/>
        </w:rPr>
        <w:t>Seria dada prioridade à produção de materiais de defesa, que condicionaria as parcerias externas ao desenvolvimento de pesquisa e produção no país, com a transferência de tecnologia, visto uma preocupação com a autonomia do país no setor. Ademais, o governo assumia o compromisso de garantir demanda à indústria nacional e de desenvolvimento de alta tecnologia, vinculando centros de pesquisa e universidades. O objetivo seria garantir a autossuficiência tecnológica e autonomia em termos de aparelhamento das forças armadas (DAGNINO, 2011).</w:t>
      </w:r>
    </w:p>
    <w:p>
      <w:pPr>
        <w:pStyle w:val="Normal"/>
        <w:spacing w:lineRule="auto" w:line="360"/>
        <w:ind w:left="0" w:right="0" w:firstLine="720"/>
        <w:jc w:val="both"/>
        <w:rPr>
          <w:rFonts w:eastAsia="Times New Roman" w:cs="Times New Roman" w:ascii="Times New Roman" w:hAnsi="Times New Roman"/>
          <w:sz w:val="24"/>
          <w:szCs w:val="24"/>
          <w:lang w:val="pt-BR"/>
        </w:rPr>
      </w:pPr>
      <w:r>
        <w:rPr>
          <w:rFonts w:eastAsia="Times New Roman" w:cs="Times New Roman" w:ascii="Times New Roman" w:hAnsi="Times New Roman"/>
          <w:sz w:val="24"/>
          <w:szCs w:val="24"/>
          <w:lang w:val="pt-BR"/>
        </w:rPr>
        <w:t>A END vinha ao encontro do novo ânimo do governo de que o Brasil poderia ser uma grande potência (SOARES, 2011, p. 77), também representado no aumento da participação brasileira em operações de paz, com destaque para a missão no Haiti (MINUSTAH). Essa ambição de grande potência era uma diretriz da política externa do governo Lula, segundo Vizentini (2005). Nesse sentido, a orientação da PEB para a vizinhança brasileira também permeava os objetivos de defesa do país, com a preocupação com a América do Sul e ao estímulo à integração regional para equacionar o problema do tráfico transfronteiriço, diminuindo a possibilidade de conflitos, além de aumentar a dimensão do mercado de tecnologia de defesa para a indústria nacional (OLIVEIRA, BRITES, MUNHOZ, 2012). É possível encontrar na END referência também à parceria do Brasil com os países africanos, centro-americanos e caribenhos. (SOARES, 2011, p. 77; SILVA, 2014, p. 73; BRASIL, 2008)</w:t>
      </w:r>
    </w:p>
    <w:p>
      <w:pPr>
        <w:pStyle w:val="Normal"/>
        <w:spacing w:lineRule="auto" w:line="360"/>
        <w:jc w:val="both"/>
        <w:rPr>
          <w:rFonts w:eastAsia="Times New Roman" w:cs="Times New Roman" w:ascii="Times New Roman" w:hAnsi="Times New Roman"/>
          <w:sz w:val="24"/>
          <w:szCs w:val="24"/>
          <w:lang w:val="pt-BR"/>
        </w:rPr>
      </w:pPr>
      <w:r>
        <w:rPr>
          <w:rFonts w:eastAsia="Times New Roman" w:cs="Times New Roman" w:ascii="Times New Roman" w:hAnsi="Times New Roman"/>
          <w:sz w:val="24"/>
          <w:szCs w:val="24"/>
          <w:lang w:val="pt-BR"/>
        </w:rPr>
        <w:tab/>
        <w:t xml:space="preserve">Foi no segundo mandato do governo Lula que o Brasil começou a dar maior foco aos países vizinhos, abandonando o bilateralismo (SILVA, 2014, p. 74), possivelmente como um dos resultados da publicação do documento dos Estados Unidos intitulado </w:t>
      </w:r>
      <w:r>
        <w:rPr>
          <w:rFonts w:eastAsia="Times New Roman" w:cs="Times New Roman" w:ascii="Times New Roman" w:hAnsi="Times New Roman"/>
          <w:i/>
          <w:iCs/>
          <w:sz w:val="24"/>
          <w:szCs w:val="24"/>
          <w:lang w:val="pt-BR"/>
        </w:rPr>
        <w:t>National Defense Strategy</w:t>
      </w:r>
      <w:r>
        <w:rPr>
          <w:rFonts w:eastAsia="Times New Roman" w:cs="Times New Roman" w:ascii="Times New Roman" w:hAnsi="Times New Roman"/>
          <w:sz w:val="24"/>
          <w:szCs w:val="24"/>
          <w:lang w:val="pt-BR"/>
        </w:rPr>
        <w:t>, de 2005</w:t>
      </w:r>
      <w:r>
        <w:rPr>
          <w:rStyle w:val="Ncoradanotaderodap"/>
          <w:rFonts w:eastAsia="Times New Roman" w:cs="Times New Roman" w:ascii="Times New Roman" w:hAnsi="Times New Roman"/>
          <w:sz w:val="24"/>
          <w:szCs w:val="24"/>
          <w:lang w:val="pt-BR"/>
        </w:rPr>
        <w:footnoteReference w:id="7"/>
      </w:r>
      <w:r>
        <w:rPr>
          <w:rFonts w:eastAsia="Times New Roman" w:cs="Times New Roman" w:ascii="Times New Roman" w:hAnsi="Times New Roman"/>
          <w:sz w:val="24"/>
          <w:szCs w:val="24"/>
          <w:lang w:val="pt-BR"/>
        </w:rPr>
        <w:t xml:space="preserve"> e, mais ainda, da descoberta das jazidas do Pré-Sal, em 2006, no entorno marítimo brasileiro. Como destaca Soares (2011, p. 80), uma das principais convergências entre a diplomacia brasileira e a defesa se deu em 2010, com o restabelecimento do acordo de cooperação militar com os EUA. Tal acordo abrangia áreas de logística e pesquisa e desenvolvimento, bem como aquisições. Com a criação da UNASUL e do Conselho de Defesa Sul-Americano (CDS) em 2008, o Brasil buscou atingir também uma base industrial de defesa regional (GUIMARÃES, 2012, p. 250).</w:t>
      </w:r>
    </w:p>
    <w:p>
      <w:pPr>
        <w:pStyle w:val="Normal"/>
        <w:spacing w:lineRule="auto" w:line="360"/>
        <w:jc w:val="both"/>
        <w:rPr>
          <w:rFonts w:eastAsia="Times New Roman" w:cs="Times New Roman" w:ascii="Times New Roman" w:hAnsi="Times New Roman"/>
          <w:sz w:val="24"/>
          <w:szCs w:val="24"/>
          <w:lang w:val="pt-BR"/>
        </w:rPr>
      </w:pPr>
      <w:r>
        <w:rPr>
          <w:rFonts w:eastAsia="Times New Roman" w:cs="Times New Roman" w:ascii="Times New Roman" w:hAnsi="Times New Roman"/>
          <w:sz w:val="24"/>
          <w:szCs w:val="24"/>
          <w:lang w:val="pt-BR"/>
        </w:rPr>
        <w:tab/>
        <w:t>Por fim, podemos dizer que o governo de Lula conseguiu conduzir o Brasil a uma posição de liderança na região, com a criação da UNASUL e do CDS, mas sem se impor como protagonista. Mais do que isso, há uma evolução dos mecanismos institucionais e jurídicos da política de defesa brasileira, buscando a modernização e integração das Forças Armadas, bem como com a elaboração de decretos e da END (GUIMARÃES, 2012, p. 107). Esse processo culminaria com o lançamento do LBDN em 2012. O foco da política de defesa nitidamente se deslocou para o conceito de entorno estratégico, principalmente o Atlântico Sul e a defesa do pré-sal (CORRÊA, 2014). Ainda, podemos dizer que há um maior alinhamento com a Política externa no período, pois essa não pode prescindir de uma “Política de Defesa capaz de interagir instrumentos de cooperação e alianças com projeção de poder e dissuasão” (CORRÊA, 2014, p. 36).</w:t>
      </w:r>
    </w:p>
    <w:p>
      <w:pPr>
        <w:pStyle w:val="Normal"/>
        <w:spacing w:lineRule="auto" w:line="360"/>
        <w:rPr>
          <w:rFonts w:eastAsia="Times New Roman" w:cs="Times New Roman" w:ascii="Times New Roman" w:hAnsi="Times New Roman"/>
          <w:color w:val="FF00FF"/>
          <w:sz w:val="24"/>
          <w:szCs w:val="24"/>
          <w:lang w:val="pt-BR"/>
        </w:rPr>
      </w:pPr>
      <w:r>
        <w:rPr>
          <w:rFonts w:eastAsia="Times New Roman" w:cs="Times New Roman" w:ascii="Times New Roman" w:hAnsi="Times New Roman"/>
          <w:color w:val="FF00FF"/>
          <w:sz w:val="24"/>
          <w:szCs w:val="24"/>
          <w:lang w:val="pt-BR"/>
        </w:rPr>
      </w:r>
    </w:p>
    <w:p>
      <w:pPr>
        <w:pStyle w:val="Normal"/>
        <w:spacing w:lineRule="auto" w:line="360"/>
        <w:rPr>
          <w:rFonts w:eastAsia="Times New Roman" w:cs="Times New Roman" w:ascii="Times New Roman" w:hAnsi="Times New Roman"/>
          <w:b/>
          <w:sz w:val="24"/>
          <w:szCs w:val="24"/>
          <w:lang w:val="pt-BR"/>
        </w:rPr>
      </w:pPr>
      <w:r>
        <w:rPr>
          <w:rFonts w:eastAsia="Times New Roman" w:cs="Times New Roman" w:ascii="Times New Roman" w:hAnsi="Times New Roman"/>
          <w:b/>
          <w:sz w:val="24"/>
          <w:szCs w:val="24"/>
          <w:lang w:val="pt-BR"/>
        </w:rPr>
        <w:t>6 Conclusão</w:t>
      </w:r>
    </w:p>
    <w:p>
      <w:pPr>
        <w:pStyle w:val="Normal"/>
        <w:spacing w:lineRule="auto" w:line="360"/>
        <w:ind w:left="0" w:right="0" w:firstLine="720"/>
        <w:jc w:val="both"/>
        <w:rPr>
          <w:rFonts w:eastAsia="Times New Roman" w:cs="Times New Roman" w:ascii="Times New Roman" w:hAnsi="Times New Roman"/>
          <w:sz w:val="24"/>
          <w:szCs w:val="24"/>
          <w:lang w:val="pt-BR"/>
        </w:rPr>
      </w:pPr>
      <w:r>
        <w:rPr>
          <w:rFonts w:eastAsia="Times New Roman" w:cs="Times New Roman" w:ascii="Times New Roman" w:hAnsi="Times New Roman"/>
          <w:sz w:val="24"/>
          <w:szCs w:val="24"/>
          <w:lang w:val="pt-BR"/>
        </w:rPr>
        <w:t>O governo de Fernando Henrique Cardoso foi marcado pela inserção no paradigma de Estado Normal, em que o Estado abria mão de comandar projetos de desenvolvimento nacional. Nesse período, o que determinou a inserção internacional do Brasil foi a autonomia pela integração, através da qual o país reconhecia seu papel "secundário" no cenário internacional e se voltava prioritariamente para as relações com as grandes potências. O realismo foi abandonado em detrimento de uma visão kantiana das relações internacionais que via o poder militar como irrelevante, colocando os tópicos econômicos em primeiro plano. Nos anos finais do segundo mandato, com a crise financeira e com os ataques de 11 de setembro, o paradigma neoliberal entrou em crise, e o Brasil adotou uma postura mais crítica ao unilateralismo americano e à globalização, considerada assimétrica.</w:t>
      </w:r>
    </w:p>
    <w:p>
      <w:pPr>
        <w:pStyle w:val="Normal"/>
        <w:spacing w:lineRule="auto" w:line="360"/>
        <w:ind w:left="0" w:right="0" w:firstLine="720"/>
        <w:jc w:val="both"/>
        <w:rPr>
          <w:rFonts w:eastAsia="Times New Roman" w:cs="Times New Roman" w:ascii="Times New Roman" w:hAnsi="Times New Roman"/>
          <w:sz w:val="24"/>
          <w:szCs w:val="24"/>
          <w:lang w:val="pt-BR"/>
        </w:rPr>
      </w:pPr>
      <w:r>
        <w:rPr>
          <w:rFonts w:eastAsia="Times New Roman" w:cs="Times New Roman" w:ascii="Times New Roman" w:hAnsi="Times New Roman"/>
          <w:sz w:val="24"/>
          <w:szCs w:val="24"/>
          <w:lang w:val="pt-BR"/>
        </w:rPr>
        <w:t>A política de defesa de FHC condiz com a cosmovisão da PEB do período. Mesmo tendo sido escanteado em diversos tópicos durante o governo Fernando Henrique, o Itamaraty se apropriou da doutrina de segurança e da política de defesa, constrangendo o papel das Forças Armadas nessa área; além disso, a noção de segurança nacional e a produção industrial dos meios de defesa e dissuasão foi abandonada. Por isso, os avanços na defesa estiveram ligados principalmente à institucionalização e à criação de marcos básicos como a PDN e o MD. Por fim, como os assuntos ligados à criação de capacidades e resecurização, dada a instabilidade do mundo multipolar com novos agentes, no final do período do seu mandato, é compreensível a sua limitação sobre o tema, a falta de aprofundamento devido e seu orçamento para esses fins.</w:t>
      </w:r>
    </w:p>
    <w:p>
      <w:pPr>
        <w:pStyle w:val="Normal"/>
        <w:spacing w:lineRule="auto" w:line="360"/>
        <w:ind w:left="0" w:right="0" w:firstLine="720"/>
        <w:jc w:val="both"/>
        <w:rPr>
          <w:rFonts w:eastAsia="Times New Roman" w:cs="Times New Roman" w:ascii="Times New Roman" w:hAnsi="Times New Roman"/>
          <w:sz w:val="24"/>
          <w:szCs w:val="24"/>
          <w:lang w:val="pt-BR"/>
        </w:rPr>
      </w:pPr>
      <w:r>
        <w:rPr>
          <w:rFonts w:eastAsia="Times New Roman" w:cs="Times New Roman" w:ascii="Times New Roman" w:hAnsi="Times New Roman"/>
          <w:sz w:val="24"/>
          <w:szCs w:val="24"/>
          <w:lang w:val="pt-BR"/>
        </w:rPr>
        <w:t>No governo Lula, o país se enquadrou de vez no paradigma do Estado Logístico, fornecendo as ferramentas para que a iniciativa nacional conseguisse realizar o desenvolvimento. Nesse contexto, a postura da PEB se alterou, recebendo um novo enfoque, baseado na noção de diplomacia "ativa e altiva". A partir da autonomia pela diversificação, a política exterior ganhou um caráter estratégico, devendo reafirmar os interesses nacionais e o protagonismo do país nas relações internacionais a partir da cooperação Sul-Sul. Ainda nesse período, a política externa defendeu o desejo de desempenhar um papel relevante no âmbito internacional, através de iniciativas como a candidatura ao Conselho de Segurança e a participação em missões de paz da ONU.</w:t>
      </w:r>
    </w:p>
    <w:p>
      <w:pPr>
        <w:pStyle w:val="Normal"/>
        <w:spacing w:lineRule="auto" w:line="360"/>
        <w:jc w:val="both"/>
        <w:rPr>
          <w:rFonts w:eastAsia="Times New Roman" w:cs="Times New Roman" w:ascii="Times New Roman" w:hAnsi="Times New Roman"/>
          <w:sz w:val="24"/>
          <w:szCs w:val="24"/>
          <w:lang w:val="pt-BR"/>
        </w:rPr>
      </w:pPr>
      <w:r>
        <w:rPr>
          <w:rFonts w:eastAsia="Times New Roman" w:cs="Times New Roman" w:ascii="Times New Roman" w:hAnsi="Times New Roman"/>
          <w:sz w:val="24"/>
          <w:szCs w:val="24"/>
          <w:lang w:val="pt-BR"/>
        </w:rPr>
        <w:tab/>
        <w:t>Assim como a política externa, a política de defesa do governo Lula afastou-se de sua antecessora e voltou-se para a liderança e soberania nacional. De início, a política social foi predominante na agenda, deixando os temas de segurança em estado de espera. A partir de 2005, começa a haver uma maior institucionalização, com a revisão da Política de Defesa Nacional. Porém, é a partir de 2007 que começam a se cristalizar as novas diretrizes da política de defesa. A descoberta do petróleo na camada de pré-sal e a maior assertividade na agenda sulamericana precipitam uma maior relevância para os temas de defesa. O conceito de entorno estratégico passa a guiar as ações dessa área, com ênfase cada vez maior na integração da América do Sul e proteção do Atlântico Sul. Assim, vemos uma convergência cada vez maior entre as orientações de política externa e a política de defesa no período Lula.</w:t>
      </w:r>
    </w:p>
    <w:p>
      <w:pPr>
        <w:pStyle w:val="Normal"/>
        <w:spacing w:lineRule="auto" w:line="360"/>
        <w:jc w:val="both"/>
        <w:rPr>
          <w:rFonts w:eastAsia="Times New Roman" w:cs="Times New Roman" w:ascii="Times New Roman" w:hAnsi="Times New Roman"/>
          <w:sz w:val="24"/>
          <w:szCs w:val="24"/>
          <w:lang w:val="pt-BR"/>
        </w:rPr>
      </w:pPr>
      <w:r>
        <w:rPr>
          <w:rFonts w:eastAsia="Times New Roman" w:cs="Times New Roman" w:ascii="Times New Roman" w:hAnsi="Times New Roman"/>
          <w:sz w:val="24"/>
          <w:szCs w:val="24"/>
          <w:lang w:val="pt-BR"/>
        </w:rPr>
        <w:tab/>
        <w:t>Conclui-se então que as diretrizes gerais das políticas externas foram inseridas nas políticas de defesa nacional de ambos os presidentes. Enquanto FHC adotou uma PEB subserviente e apenas institucionalizou as políticas de defesa, relegando-as a segundo plano pela desvalorização do poder militar como ferramenta de inserção, Lula assumiu uma política exterior ativa e de liderança, operacionalizando a defesa nacional de acordo com os objetivos de atuação internacional e defesa dos interesses soberanos do Brasil.</w:t>
      </w:r>
    </w:p>
    <w:p>
      <w:pPr>
        <w:pStyle w:val="Normal"/>
        <w:jc w:val="both"/>
        <w:rPr>
          <w:rFonts w:eastAsia="Times New Roman" w:cs="Times New Roman" w:ascii="Times New Roman" w:hAnsi="Times New Roman"/>
          <w:sz w:val="24"/>
          <w:szCs w:val="24"/>
          <w:lang w:val="pt-BR"/>
        </w:rPr>
      </w:pPr>
      <w:r>
        <w:rPr>
          <w:rFonts w:eastAsia="Times New Roman" w:cs="Times New Roman" w:ascii="Times New Roman" w:hAnsi="Times New Roman"/>
          <w:sz w:val="24"/>
          <w:szCs w:val="24"/>
          <w:lang w:val="pt-BR"/>
        </w:rPr>
      </w:r>
    </w:p>
    <w:p>
      <w:pPr>
        <w:pStyle w:val="Normal"/>
        <w:jc w:val="both"/>
        <w:rPr>
          <w:rFonts w:eastAsia="Times New Roman" w:cs="Times New Roman" w:ascii="Times New Roman" w:hAnsi="Times New Roman"/>
          <w:sz w:val="24"/>
          <w:szCs w:val="24"/>
          <w:lang w:val="pt-BR"/>
        </w:rPr>
      </w:pPr>
      <w:r>
        <w:rPr>
          <w:rFonts w:eastAsia="Times New Roman" w:cs="Times New Roman" w:ascii="Times New Roman" w:hAnsi="Times New Roman"/>
          <w:sz w:val="24"/>
          <w:szCs w:val="24"/>
          <w:lang w:val="pt-BR"/>
        </w:rPr>
      </w:r>
    </w:p>
    <w:p>
      <w:pPr>
        <w:pStyle w:val="Normal"/>
        <w:jc w:val="both"/>
        <w:rPr>
          <w:rFonts w:eastAsia="Times New Roman" w:cs="Times New Roman" w:ascii="Times New Roman" w:hAnsi="Times New Roman"/>
          <w:sz w:val="24"/>
          <w:szCs w:val="24"/>
          <w:lang w:val="pt-BR"/>
        </w:rPr>
      </w:pPr>
      <w:r>
        <w:rPr>
          <w:rFonts w:eastAsia="Times New Roman" w:cs="Times New Roman" w:ascii="Times New Roman" w:hAnsi="Times New Roman"/>
          <w:sz w:val="24"/>
          <w:szCs w:val="24"/>
          <w:lang w:val="pt-BR"/>
        </w:rPr>
      </w:r>
    </w:p>
    <w:p>
      <w:pPr>
        <w:pStyle w:val="Normal"/>
        <w:jc w:val="both"/>
        <w:rPr>
          <w:rFonts w:eastAsia="Times New Roman" w:cs="Times New Roman" w:ascii="Times New Roman" w:hAnsi="Times New Roman"/>
          <w:sz w:val="24"/>
          <w:szCs w:val="24"/>
          <w:lang w:val="pt-BR"/>
        </w:rPr>
      </w:pPr>
      <w:r>
        <w:rPr>
          <w:rFonts w:eastAsia="Times New Roman" w:cs="Times New Roman" w:ascii="Times New Roman" w:hAnsi="Times New Roman"/>
          <w:sz w:val="24"/>
          <w:szCs w:val="24"/>
          <w:lang w:val="pt-BR"/>
        </w:rPr>
      </w:r>
    </w:p>
    <w:p>
      <w:pPr>
        <w:pStyle w:val="Normal"/>
        <w:jc w:val="both"/>
        <w:rPr>
          <w:rFonts w:eastAsia="Times New Roman" w:cs="Times New Roman" w:ascii="Times New Roman" w:hAnsi="Times New Roman"/>
          <w:sz w:val="24"/>
          <w:szCs w:val="24"/>
          <w:lang w:val="pt-BR"/>
        </w:rPr>
      </w:pPr>
      <w:r>
        <w:rPr>
          <w:rFonts w:eastAsia="Times New Roman" w:cs="Times New Roman" w:ascii="Times New Roman" w:hAnsi="Times New Roman"/>
          <w:sz w:val="24"/>
          <w:szCs w:val="24"/>
          <w:lang w:val="pt-BR"/>
        </w:rPr>
      </w:r>
    </w:p>
    <w:p>
      <w:pPr>
        <w:pStyle w:val="Normal"/>
        <w:jc w:val="both"/>
        <w:rPr>
          <w:rFonts w:eastAsia="Times New Roman" w:cs="Times New Roman" w:ascii="Times New Roman" w:hAnsi="Times New Roman"/>
          <w:sz w:val="24"/>
          <w:szCs w:val="24"/>
          <w:lang w:val="pt-BR"/>
        </w:rPr>
      </w:pPr>
      <w:r>
        <w:rPr>
          <w:rFonts w:eastAsia="Times New Roman" w:cs="Times New Roman" w:ascii="Times New Roman" w:hAnsi="Times New Roman"/>
          <w:sz w:val="24"/>
          <w:szCs w:val="24"/>
          <w:lang w:val="pt-BR"/>
        </w:rPr>
      </w:r>
    </w:p>
    <w:p>
      <w:pPr>
        <w:pStyle w:val="Normal"/>
        <w:jc w:val="both"/>
        <w:rPr>
          <w:rFonts w:eastAsia="Times New Roman" w:cs="Times New Roman" w:ascii="Times New Roman" w:hAnsi="Times New Roman"/>
          <w:sz w:val="24"/>
          <w:szCs w:val="24"/>
          <w:lang w:val="pt-BR"/>
        </w:rPr>
      </w:pPr>
      <w:r>
        <w:rPr>
          <w:rFonts w:eastAsia="Times New Roman" w:cs="Times New Roman" w:ascii="Times New Roman" w:hAnsi="Times New Roman"/>
          <w:sz w:val="24"/>
          <w:szCs w:val="24"/>
          <w:lang w:val="pt-BR"/>
        </w:rPr>
      </w:r>
    </w:p>
    <w:p>
      <w:pPr>
        <w:pStyle w:val="Normal"/>
        <w:jc w:val="both"/>
        <w:rPr>
          <w:rFonts w:eastAsia="Times New Roman" w:cs="Times New Roman" w:ascii="Times New Roman" w:hAnsi="Times New Roman"/>
          <w:sz w:val="24"/>
          <w:szCs w:val="24"/>
          <w:lang w:val="pt-BR"/>
        </w:rPr>
      </w:pPr>
      <w:r>
        <w:rPr>
          <w:rFonts w:eastAsia="Times New Roman" w:cs="Times New Roman" w:ascii="Times New Roman" w:hAnsi="Times New Roman"/>
          <w:sz w:val="24"/>
          <w:szCs w:val="24"/>
          <w:lang w:val="pt-BR"/>
        </w:rPr>
      </w:r>
    </w:p>
    <w:p>
      <w:pPr>
        <w:pStyle w:val="Normal"/>
        <w:jc w:val="both"/>
        <w:rPr>
          <w:rFonts w:eastAsia="Times New Roman" w:cs="Times New Roman" w:ascii="Times New Roman" w:hAnsi="Times New Roman"/>
          <w:sz w:val="24"/>
          <w:szCs w:val="24"/>
        </w:rPr>
      </w:pPr>
      <w:r>
        <w:rPr>
          <w:rFonts w:eastAsia="Times New Roman" w:cs="Times New Roman" w:ascii="Times New Roman" w:hAnsi="Times New Roman"/>
          <w:b/>
          <w:sz w:val="24"/>
          <w:szCs w:val="24"/>
        </w:rPr>
        <w:t>Apêndices</w:t>
      </w:r>
      <w:r>
        <w:rPr>
          <w:rFonts w:eastAsia="Times New Roman" w:cs="Times New Roman" w:ascii="Times New Roman" w:hAnsi="Times New Roman"/>
          <w:sz w:val="24"/>
          <w:szCs w:val="24"/>
        </w:rPr>
        <w:t>:</w:t>
      </w:r>
    </w:p>
    <w:p>
      <w:pPr>
        <w:pStyle w:val="Normal"/>
        <w:jc w:val="both"/>
        <w:rPr>
          <w:rFonts w:cs="Times New Roman" w:ascii="Times New Roman" w:hAnsi="Times New Roman"/>
          <w:sz w:val="24"/>
          <w:szCs w:val="24"/>
        </w:rPr>
      </w:pPr>
      <w:r>
        <w:rPr>
          <w:rFonts w:cs="Times New Roman" w:ascii="Times New Roman" w:hAnsi="Times New Roman"/>
          <w:sz w:val="24"/>
          <w:szCs w:val="24"/>
        </w:rPr>
      </w:r>
    </w:p>
    <w:p>
      <w:pPr>
        <w:pStyle w:val="Normal"/>
        <w:rPr/>
      </w:pPr>
      <w:r>
        <w:rPr/>
        <w:drawing>
          <wp:inline distT="0" distB="0" distL="0" distR="0">
            <wp:extent cx="5400675" cy="3733800"/>
            <wp:effectExtent l="0" t="0" r="0" b="0"/>
            <wp:docPr id="0"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
                    <pic:cNvPicPr>
                      <a:picLocks noChangeAspect="1" noChangeArrowheads="1"/>
                    </pic:cNvPicPr>
                  </pic:nvPicPr>
                  <pic:blipFill>
                    <a:blip r:embed="rId2"/>
                    <a:stretch>
                      <a:fillRect/>
                    </a:stretch>
                  </pic:blipFill>
                  <pic:spPr bwMode="auto">
                    <a:xfrm>
                      <a:off x="0" y="0"/>
                      <a:ext cx="5400675" cy="3733800"/>
                    </a:xfrm>
                    <a:prstGeom prst="rect">
                      <a:avLst/>
                    </a:prstGeom>
                    <a:noFill/>
                    <a:ln w="9525">
                      <a:noFill/>
                      <a:miter lim="800000"/>
                      <a:headEnd/>
                      <a:tailEnd/>
                    </a:ln>
                  </pic:spPr>
                </pic:pic>
              </a:graphicData>
            </a:graphic>
          </wp:inline>
        </w:drawing>
      </w:r>
    </w:p>
    <w:p>
      <w:pPr>
        <w:pStyle w:val="Normal"/>
        <w:rPr/>
      </w:pPr>
      <w:r>
        <w:rPr/>
        <w:drawing>
          <wp:inline distT="0" distB="0" distL="0" distR="0">
            <wp:extent cx="5400675" cy="3590925"/>
            <wp:effectExtent l="0" t="0" r="0" b="0"/>
            <wp:docPr id="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
                    <pic:cNvPicPr>
                      <a:picLocks noChangeAspect="1" noChangeArrowheads="1"/>
                    </pic:cNvPicPr>
                  </pic:nvPicPr>
                  <pic:blipFill>
                    <a:blip r:embed="rId3"/>
                    <a:stretch>
                      <a:fillRect/>
                    </a:stretch>
                  </pic:blipFill>
                  <pic:spPr bwMode="auto">
                    <a:xfrm>
                      <a:off x="0" y="0"/>
                      <a:ext cx="5400675" cy="3590925"/>
                    </a:xfrm>
                    <a:prstGeom prst="rect">
                      <a:avLst/>
                    </a:prstGeom>
                    <a:noFill/>
                    <a:ln w="9525">
                      <a:noFill/>
                      <a:miter lim="800000"/>
                      <a:headEnd/>
                      <a:tailEnd/>
                    </a:ln>
                  </pic:spPr>
                </pic:pic>
              </a:graphicData>
            </a:graphic>
          </wp:inline>
        </w:drawing>
      </w:r>
    </w:p>
    <w:p>
      <w:pPr>
        <w:pStyle w:val="Normal"/>
        <w:jc w:val="center"/>
        <w:rPr>
          <w:rFonts w:cs="Times New Roman" w:ascii="Times New Roman" w:hAnsi="Times New Roman"/>
          <w:sz w:val="24"/>
          <w:szCs w:val="24"/>
        </w:rPr>
      </w:pPr>
      <w:r>
        <w:rPr>
          <w:rFonts w:cs="Times New Roman" w:ascii="Times New Roman" w:hAnsi="Times New Roman"/>
          <w:sz w:val="24"/>
          <w:szCs w:val="24"/>
        </w:rPr>
      </w:r>
    </w:p>
    <w:p>
      <w:pPr>
        <w:pStyle w:val="Normal"/>
        <w:jc w:val="center"/>
        <w:rPr>
          <w:rFonts w:cs="Times New Roman" w:ascii="Times New Roman" w:hAnsi="Times New Roman"/>
          <w:sz w:val="24"/>
          <w:szCs w:val="24"/>
        </w:rPr>
      </w:pPr>
      <w:r>
        <w:rPr>
          <w:rFonts w:cs="Times New Roman" w:ascii="Times New Roman" w:hAnsi="Times New Roman"/>
          <w:sz w:val="24"/>
          <w:szCs w:val="24"/>
        </w:rPr>
      </w:r>
    </w:p>
    <w:p>
      <w:pPr>
        <w:pStyle w:val="Normal"/>
        <w:jc w:val="center"/>
        <w:rPr>
          <w:rFonts w:eastAsia="Times New Roman" w:cs="Times New Roman" w:ascii="Times New Roman" w:hAnsi="Times New Roman"/>
          <w:b/>
          <w:bCs/>
          <w:sz w:val="24"/>
          <w:szCs w:val="24"/>
          <w:lang w:val="pt-BR"/>
        </w:rPr>
      </w:pPr>
      <w:r>
        <w:rPr>
          <w:rFonts w:eastAsia="Times New Roman" w:cs="Times New Roman" w:ascii="Times New Roman" w:hAnsi="Times New Roman"/>
          <w:b/>
          <w:bCs/>
          <w:sz w:val="24"/>
          <w:szCs w:val="24"/>
          <w:lang w:val="pt-BR"/>
        </w:rPr>
        <w:t>REFERÊNCIAS</w:t>
      </w:r>
    </w:p>
    <w:p>
      <w:pPr>
        <w:pStyle w:val="Normal"/>
        <w:jc w:val="both"/>
        <w:rPr>
          <w:rFonts w:eastAsia="Times New Roman" w:cs="Times New Roman" w:ascii="Times New Roman" w:hAnsi="Times New Roman"/>
          <w:sz w:val="24"/>
          <w:szCs w:val="24"/>
          <w:lang w:val="pt-BR"/>
        </w:rPr>
      </w:pPr>
      <w:r>
        <w:rPr>
          <w:rFonts w:eastAsia="Times New Roman" w:cs="Times New Roman" w:ascii="Times New Roman" w:hAnsi="Times New Roman"/>
          <w:sz w:val="24"/>
          <w:szCs w:val="24"/>
          <w:lang w:val="pt-BR"/>
        </w:rPr>
      </w:r>
    </w:p>
    <w:p>
      <w:pPr>
        <w:pStyle w:val="Corpodotexto"/>
        <w:spacing w:lineRule="auto" w:line="240" w:before="0" w:after="0"/>
        <w:jc w:val="both"/>
        <w:rPr>
          <w:rFonts w:cs="Times New Roman" w:ascii="Times New Roman" w:hAnsi="Times New Roman"/>
          <w:sz w:val="24"/>
          <w:szCs w:val="24"/>
          <w:lang w:val="pt-BR" w:bidi="ar-SA"/>
        </w:rPr>
      </w:pPr>
      <w:r>
        <w:rPr>
          <w:rFonts w:cs="Times New Roman" w:ascii="Times New Roman" w:hAnsi="Times New Roman"/>
          <w:sz w:val="24"/>
          <w:szCs w:val="24"/>
          <w:lang w:val="pt-BR" w:bidi="ar-SA"/>
        </w:rPr>
        <w:t xml:space="preserve">ALMEIDA, Paulo Roberto de. (2004), “Uma Política Externa Engajada: a Diplomacia do Governo Lula”. </w:t>
      </w:r>
      <w:r>
        <w:rPr>
          <w:rFonts w:eastAsia="Times New Roman" w:cs="Times New Roman" w:ascii="Times New Roman" w:hAnsi="Times New Roman"/>
          <w:sz w:val="24"/>
          <w:szCs w:val="24"/>
          <w:lang w:val="pt-BR" w:bidi="ar-SA"/>
        </w:rPr>
        <w:t>Revista Brasileira de Política Internacional</w:t>
      </w:r>
      <w:r>
        <w:rPr>
          <w:rFonts w:cs="Times New Roman" w:ascii="Times New Roman" w:hAnsi="Times New Roman"/>
          <w:sz w:val="24"/>
          <w:szCs w:val="24"/>
          <w:lang w:val="pt-BR" w:bidi="ar-SA"/>
        </w:rPr>
        <w:t>, vol. 47, No 1, pp. 162-184.</w:t>
      </w:r>
    </w:p>
    <w:p>
      <w:pPr>
        <w:pStyle w:val="Corpodotexto"/>
        <w:spacing w:lineRule="auto" w:line="240"/>
        <w:rPr>
          <w:rFonts w:cs="Times New Roman" w:ascii="Times New Roman" w:hAnsi="Times New Roman"/>
          <w:sz w:val="24"/>
          <w:szCs w:val="24"/>
          <w:lang w:val="pt-BR" w:bidi="ar-SA"/>
        </w:rPr>
      </w:pPr>
      <w:r>
        <w:rPr>
          <w:rFonts w:cs="Times New Roman" w:ascii="Times New Roman" w:hAnsi="Times New Roman"/>
          <w:sz w:val="24"/>
          <w:szCs w:val="24"/>
          <w:lang w:val="pt-BR" w:bidi="ar-SA"/>
        </w:rPr>
      </w:r>
    </w:p>
    <w:p>
      <w:pPr>
        <w:pStyle w:val="Corpodotexto"/>
        <w:spacing w:lineRule="auto" w:line="240" w:before="0" w:after="0"/>
        <w:jc w:val="both"/>
        <w:rPr>
          <w:rFonts w:cs="Times New Roman" w:ascii="Times New Roman" w:hAnsi="Times New Roman"/>
          <w:sz w:val="24"/>
          <w:szCs w:val="24"/>
          <w:lang w:val="pt-BR" w:bidi="ar-SA"/>
        </w:rPr>
      </w:pPr>
      <w:r>
        <w:rPr>
          <w:rFonts w:cs="Times New Roman" w:ascii="Times New Roman" w:hAnsi="Times New Roman"/>
          <w:sz w:val="24"/>
          <w:szCs w:val="24"/>
          <w:lang w:val="pt-BR" w:bidi="ar-SA"/>
        </w:rPr>
        <w:t>BRASIL. Decreto nº 5.384, de 30 de junho de 2005. (2005), “Aprova a Política de Defesa Nacional e dá outras providências”. Diário Oficial [da] República Federativa do Brasil. Brasília, DF, 1 jul. 2005, seção 1, p. 5.</w:t>
      </w:r>
    </w:p>
    <w:p>
      <w:pPr>
        <w:pStyle w:val="Corpodotexto"/>
        <w:spacing w:lineRule="auto" w:line="240"/>
        <w:rPr>
          <w:rFonts w:cs="Times New Roman" w:ascii="Times New Roman" w:hAnsi="Times New Roman"/>
          <w:sz w:val="24"/>
          <w:szCs w:val="24"/>
          <w:lang w:val="pt-BR" w:bidi="ar-SA"/>
        </w:rPr>
      </w:pPr>
      <w:r>
        <w:rPr>
          <w:rFonts w:cs="Times New Roman" w:ascii="Times New Roman" w:hAnsi="Times New Roman"/>
          <w:sz w:val="24"/>
          <w:szCs w:val="24"/>
          <w:lang w:val="pt-BR" w:bidi="ar-SA"/>
        </w:rPr>
      </w:r>
    </w:p>
    <w:p>
      <w:pPr>
        <w:pStyle w:val="Corpodotexto"/>
        <w:spacing w:lineRule="auto" w:line="240" w:before="0" w:after="0"/>
        <w:jc w:val="both"/>
        <w:rPr>
          <w:rFonts w:cs="Times New Roman" w:ascii="Times New Roman" w:hAnsi="Times New Roman"/>
          <w:sz w:val="24"/>
          <w:szCs w:val="24"/>
          <w:lang w:val="pt-BR" w:bidi="ar-SA"/>
        </w:rPr>
      </w:pPr>
      <w:r>
        <w:rPr>
          <w:rFonts w:cs="Times New Roman" w:ascii="Times New Roman" w:hAnsi="Times New Roman"/>
          <w:sz w:val="24"/>
          <w:szCs w:val="24"/>
          <w:lang w:val="pt-BR" w:bidi="ar-SA"/>
        </w:rPr>
        <w:t xml:space="preserve">______.  Decreto nº 6.730, de 18 de dezembro de 2008. (2008), “Aprova a Estratégia Nacional de Defesa e dá outras providências”. Brasília, Ministério da Defesa.  </w:t>
      </w:r>
    </w:p>
    <w:p>
      <w:pPr>
        <w:pStyle w:val="Corpodotexto"/>
        <w:spacing w:lineRule="auto" w:line="240"/>
        <w:rPr>
          <w:rFonts w:cs="Times New Roman" w:ascii="Times New Roman" w:hAnsi="Times New Roman"/>
          <w:sz w:val="24"/>
          <w:szCs w:val="24"/>
          <w:lang w:val="pt-BR" w:bidi="ar-SA"/>
        </w:rPr>
      </w:pPr>
      <w:r>
        <w:rPr>
          <w:rFonts w:cs="Times New Roman" w:ascii="Times New Roman" w:hAnsi="Times New Roman"/>
          <w:sz w:val="24"/>
          <w:szCs w:val="24"/>
          <w:lang w:val="pt-BR" w:bidi="ar-SA"/>
        </w:rPr>
      </w:r>
    </w:p>
    <w:p>
      <w:pPr>
        <w:pStyle w:val="Corpodotexto"/>
        <w:spacing w:lineRule="auto" w:line="240" w:before="0" w:after="0"/>
        <w:jc w:val="both"/>
        <w:rPr>
          <w:rFonts w:cs="Times New Roman" w:ascii="Times New Roman" w:hAnsi="Times New Roman"/>
          <w:sz w:val="24"/>
          <w:szCs w:val="24"/>
          <w:lang w:val="pt-BR" w:bidi="ar-SA"/>
        </w:rPr>
      </w:pPr>
      <w:r>
        <w:rPr>
          <w:rFonts w:cs="Times New Roman" w:ascii="Times New Roman" w:hAnsi="Times New Roman"/>
          <w:sz w:val="24"/>
          <w:szCs w:val="24"/>
          <w:lang w:val="pt-BR" w:bidi="ar-SA"/>
        </w:rPr>
        <w:t>CAVAGNARI, Geraldo Lesbat. (2000), “Subsídios para a Revisão da Política de Defesa Nacional”. Núcleo de Estudos Estratégicos da Unicamp. Obtido em: http://www.unicamp.br/nee/art11.htm</w:t>
      </w:r>
    </w:p>
    <w:p>
      <w:pPr>
        <w:pStyle w:val="Corpodotexto"/>
        <w:spacing w:lineRule="auto" w:line="240" w:before="0" w:after="0"/>
        <w:jc w:val="both"/>
        <w:rPr>
          <w:rFonts w:cs="Times New Roman" w:ascii="Times New Roman" w:hAnsi="Times New Roman"/>
          <w:sz w:val="24"/>
          <w:szCs w:val="24"/>
          <w:lang w:val="pt-BR" w:bidi="ar-SA"/>
        </w:rPr>
      </w:pPr>
      <w:r>
        <w:rPr>
          <w:rFonts w:cs="Times New Roman" w:ascii="Times New Roman" w:hAnsi="Times New Roman"/>
          <w:sz w:val="24"/>
          <w:szCs w:val="24"/>
          <w:lang w:val="pt-BR" w:bidi="ar-SA"/>
        </w:rPr>
      </w:r>
    </w:p>
    <w:p>
      <w:pPr>
        <w:pStyle w:val="Corpodotexto"/>
        <w:spacing w:lineRule="auto" w:line="240" w:before="0" w:after="0"/>
        <w:jc w:val="both"/>
        <w:rPr>
          <w:rFonts w:cs="Times New Roman" w:ascii="Times New Roman" w:hAnsi="Times New Roman"/>
          <w:sz w:val="24"/>
          <w:szCs w:val="24"/>
          <w:lang w:val="pt-BR" w:bidi="ar-SA"/>
        </w:rPr>
      </w:pPr>
      <w:r>
        <w:rPr>
          <w:rFonts w:cs="Times New Roman" w:ascii="Times New Roman" w:hAnsi="Times New Roman"/>
          <w:sz w:val="24"/>
          <w:szCs w:val="24"/>
          <w:lang w:val="pt-BR" w:bidi="ar-SA"/>
        </w:rPr>
        <w:t>CERVO, Amado e BUENO, Clodoaldo</w:t>
      </w:r>
      <w:r>
        <w:rPr>
          <w:rFonts w:eastAsia="Times New Roman" w:cs="Times New Roman" w:ascii="Times New Roman" w:hAnsi="Times New Roman"/>
          <w:i/>
          <w:sz w:val="24"/>
          <w:szCs w:val="24"/>
          <w:lang w:val="pt-BR" w:bidi="ar-SA"/>
        </w:rPr>
        <w:t xml:space="preserve">. </w:t>
      </w:r>
      <w:r>
        <w:rPr>
          <w:rFonts w:eastAsia="Times New Roman" w:cs="Times New Roman" w:ascii="Times New Roman" w:hAnsi="Times New Roman"/>
          <w:sz w:val="24"/>
          <w:szCs w:val="24"/>
          <w:lang w:val="pt-BR" w:bidi="ar-SA"/>
        </w:rPr>
        <w:t>(2002),</w:t>
      </w:r>
      <w:r>
        <w:rPr>
          <w:rFonts w:eastAsia="Times New Roman" w:cs="Times New Roman" w:ascii="Times New Roman" w:hAnsi="Times New Roman"/>
          <w:i/>
          <w:sz w:val="24"/>
          <w:szCs w:val="24"/>
          <w:lang w:val="pt-BR" w:bidi="ar-SA"/>
        </w:rPr>
        <w:t xml:space="preserve"> História da política exterior do Brasil</w:t>
      </w:r>
      <w:r>
        <w:rPr>
          <w:rFonts w:cs="Times New Roman" w:ascii="Times New Roman" w:hAnsi="Times New Roman"/>
          <w:sz w:val="24"/>
          <w:szCs w:val="24"/>
          <w:lang w:val="pt-BR" w:bidi="ar-SA"/>
        </w:rPr>
        <w:t>. Brasília, Editora UnB.</w:t>
      </w:r>
    </w:p>
    <w:p>
      <w:pPr>
        <w:pStyle w:val="Corpodotexto"/>
        <w:spacing w:lineRule="auto" w:line="240"/>
        <w:rPr>
          <w:rFonts w:cs="Times New Roman" w:ascii="Times New Roman" w:hAnsi="Times New Roman"/>
          <w:sz w:val="24"/>
          <w:szCs w:val="24"/>
          <w:lang w:val="pt-BR" w:bidi="ar-SA"/>
        </w:rPr>
      </w:pPr>
      <w:r>
        <w:rPr>
          <w:rFonts w:cs="Times New Roman" w:ascii="Times New Roman" w:hAnsi="Times New Roman"/>
          <w:sz w:val="24"/>
          <w:szCs w:val="24"/>
          <w:lang w:val="pt-BR" w:bidi="ar-SA"/>
        </w:rPr>
      </w:r>
    </w:p>
    <w:p>
      <w:pPr>
        <w:pStyle w:val="Corpodotexto"/>
        <w:spacing w:lineRule="auto" w:line="240" w:before="0" w:after="0"/>
        <w:jc w:val="both"/>
        <w:rPr>
          <w:rFonts w:cs="Times New Roman" w:ascii="Times New Roman" w:hAnsi="Times New Roman"/>
          <w:sz w:val="24"/>
          <w:szCs w:val="24"/>
          <w:lang w:val="pt-BR" w:bidi="ar-SA"/>
        </w:rPr>
      </w:pPr>
      <w:r>
        <w:rPr>
          <w:rFonts w:cs="Times New Roman" w:ascii="Times New Roman" w:hAnsi="Times New Roman"/>
          <w:sz w:val="24"/>
          <w:szCs w:val="24"/>
          <w:lang w:val="pt-BR" w:bidi="ar-SA"/>
        </w:rPr>
        <w:t>CORRÊA, Glauco Corbari. (2014), “</w:t>
      </w:r>
      <w:r>
        <w:rPr>
          <w:rFonts w:eastAsia="Times New Roman" w:cs="Times New Roman" w:ascii="Times New Roman" w:hAnsi="Times New Roman"/>
          <w:sz w:val="24"/>
          <w:szCs w:val="24"/>
          <w:lang w:val="pt-BR" w:bidi="ar-SA"/>
        </w:rPr>
        <w:t>A Política de Defesa do Brasil no Século XXI”.</w:t>
      </w:r>
      <w:r>
        <w:rPr>
          <w:rFonts w:cs="Times New Roman" w:ascii="Times New Roman" w:hAnsi="Times New Roman"/>
          <w:sz w:val="24"/>
          <w:szCs w:val="24"/>
          <w:lang w:val="pt-BR" w:bidi="ar-SA"/>
        </w:rPr>
        <w:t xml:space="preserve"> Coleção Meira Mattos, v.8, n.31, pp. 29-38.</w:t>
      </w:r>
    </w:p>
    <w:p>
      <w:pPr>
        <w:pStyle w:val="Corpodotexto"/>
        <w:spacing w:lineRule="auto" w:line="240" w:before="0" w:after="0"/>
        <w:jc w:val="both"/>
        <w:rPr>
          <w:rFonts w:cs="Times New Roman" w:ascii="Times New Roman" w:hAnsi="Times New Roman"/>
          <w:sz w:val="24"/>
          <w:szCs w:val="24"/>
          <w:lang w:val="pt-BR" w:bidi="ar-SA"/>
        </w:rPr>
      </w:pPr>
      <w:r>
        <w:rPr>
          <w:rFonts w:cs="Times New Roman" w:ascii="Times New Roman" w:hAnsi="Times New Roman"/>
          <w:sz w:val="24"/>
          <w:szCs w:val="24"/>
          <w:lang w:val="pt-BR" w:bidi="ar-SA"/>
        </w:rPr>
      </w:r>
    </w:p>
    <w:p>
      <w:pPr>
        <w:pStyle w:val="Corpodotexto"/>
        <w:spacing w:lineRule="auto" w:line="240" w:before="0" w:after="0"/>
        <w:jc w:val="both"/>
        <w:rPr>
          <w:rFonts w:cs="Times New Roman" w:ascii="Times New Roman" w:hAnsi="Times New Roman"/>
          <w:sz w:val="24"/>
          <w:szCs w:val="24"/>
          <w:lang w:val="pt-BR" w:bidi="ar-SA"/>
        </w:rPr>
      </w:pPr>
      <w:r>
        <w:rPr>
          <w:rFonts w:cs="Times New Roman" w:ascii="Times New Roman" w:hAnsi="Times New Roman"/>
          <w:sz w:val="24"/>
          <w:szCs w:val="24"/>
          <w:lang w:val="pt-BR" w:bidi="ar-SA"/>
        </w:rPr>
        <w:t>CORREIA, Pedro. (2010), “Manual de Geopolítica e Geoestratégica. Volume I: Conceitos, Teorias, Doutrinas”. Coimbra, Edições Almedina S.A..</w:t>
      </w:r>
    </w:p>
    <w:p>
      <w:pPr>
        <w:pStyle w:val="Corpodotexto"/>
        <w:spacing w:lineRule="auto" w:line="240"/>
        <w:rPr>
          <w:rFonts w:cs="Times New Roman" w:ascii="Times New Roman" w:hAnsi="Times New Roman"/>
          <w:sz w:val="24"/>
          <w:szCs w:val="24"/>
          <w:lang w:val="pt-BR" w:bidi="ar-SA"/>
        </w:rPr>
      </w:pPr>
      <w:r>
        <w:rPr>
          <w:rFonts w:cs="Times New Roman" w:ascii="Times New Roman" w:hAnsi="Times New Roman"/>
          <w:sz w:val="24"/>
          <w:szCs w:val="24"/>
          <w:lang w:val="pt-BR" w:bidi="ar-SA"/>
        </w:rPr>
      </w:r>
    </w:p>
    <w:p>
      <w:pPr>
        <w:pStyle w:val="Corpodotexto"/>
        <w:spacing w:lineRule="auto" w:line="240" w:before="0" w:after="0"/>
        <w:jc w:val="both"/>
        <w:rPr>
          <w:rFonts w:cs="Times New Roman" w:ascii="Times New Roman" w:hAnsi="Times New Roman"/>
          <w:sz w:val="24"/>
          <w:szCs w:val="24"/>
          <w:lang w:val="pt-BR" w:bidi="ar-SA"/>
        </w:rPr>
      </w:pPr>
      <w:r>
        <w:rPr>
          <w:rFonts w:cs="Times New Roman" w:ascii="Times New Roman" w:hAnsi="Times New Roman"/>
          <w:sz w:val="24"/>
          <w:szCs w:val="24"/>
          <w:lang w:val="pt-BR" w:bidi="ar-SA"/>
        </w:rPr>
        <w:t xml:space="preserve">DAGNINO, Roberto. (2010), </w:t>
      </w:r>
      <w:r>
        <w:rPr>
          <w:rFonts w:eastAsia="Times New Roman" w:cs="Times New Roman" w:ascii="Times New Roman" w:hAnsi="Times New Roman"/>
          <w:i/>
          <w:sz w:val="24"/>
          <w:szCs w:val="24"/>
          <w:lang w:val="pt-BR" w:bidi="ar-SA"/>
        </w:rPr>
        <w:t>A indústria de defesa no governo Lula</w:t>
      </w:r>
      <w:r>
        <w:rPr>
          <w:rFonts w:eastAsia="Times New Roman" w:cs="Times New Roman" w:ascii="Times New Roman" w:hAnsi="Times New Roman"/>
          <w:sz w:val="24"/>
          <w:szCs w:val="24"/>
          <w:lang w:val="pt-BR" w:bidi="ar-SA"/>
        </w:rPr>
        <w:t>.</w:t>
      </w:r>
      <w:r>
        <w:rPr>
          <w:rFonts w:cs="Times New Roman" w:ascii="Times New Roman" w:hAnsi="Times New Roman"/>
          <w:sz w:val="24"/>
          <w:szCs w:val="24"/>
          <w:lang w:val="pt-BR" w:bidi="ar-SA"/>
        </w:rPr>
        <w:t xml:space="preserve"> São Paulo, Expressão Popular.</w:t>
      </w:r>
    </w:p>
    <w:p>
      <w:pPr>
        <w:pStyle w:val="Corpodotexto"/>
        <w:spacing w:lineRule="auto" w:line="240"/>
        <w:rPr>
          <w:rFonts w:cs="Times New Roman" w:ascii="Times New Roman" w:hAnsi="Times New Roman"/>
          <w:sz w:val="24"/>
          <w:szCs w:val="24"/>
          <w:lang w:val="pt-BR" w:bidi="ar-SA"/>
        </w:rPr>
      </w:pPr>
      <w:r>
        <w:rPr>
          <w:rFonts w:cs="Times New Roman" w:ascii="Times New Roman" w:hAnsi="Times New Roman"/>
          <w:sz w:val="24"/>
          <w:szCs w:val="24"/>
          <w:lang w:val="pt-BR" w:bidi="ar-SA"/>
        </w:rPr>
      </w:r>
    </w:p>
    <w:p>
      <w:pPr>
        <w:pStyle w:val="Corpodotexto"/>
        <w:spacing w:lineRule="auto" w:line="240" w:before="0" w:after="0"/>
        <w:jc w:val="both"/>
        <w:rPr>
          <w:rFonts w:cs="Times New Roman" w:ascii="Times New Roman" w:hAnsi="Times New Roman"/>
          <w:sz w:val="24"/>
          <w:szCs w:val="24"/>
          <w:lang w:val="pt-BR" w:bidi="ar-SA"/>
        </w:rPr>
      </w:pPr>
      <w:r>
        <w:rPr>
          <w:rFonts w:cs="Times New Roman" w:ascii="Times New Roman" w:hAnsi="Times New Roman"/>
          <w:sz w:val="24"/>
          <w:szCs w:val="24"/>
          <w:lang w:val="pt-BR" w:bidi="ar-SA"/>
        </w:rPr>
        <w:t xml:space="preserve">GUIMARÃES, Márcio Azevedo. (2012), </w:t>
      </w:r>
      <w:r>
        <w:rPr>
          <w:rFonts w:cs="Times New Roman" w:ascii="Times New Roman" w:hAnsi="Times New Roman"/>
          <w:i/>
          <w:iCs/>
          <w:sz w:val="24"/>
          <w:szCs w:val="24"/>
          <w:lang w:val="pt-BR" w:bidi="ar-SA"/>
        </w:rPr>
        <w:t>A Política de Defesa do Brasil e o Conselho de Defesa Sul-Americano.</w:t>
      </w:r>
      <w:r>
        <w:rPr>
          <w:rFonts w:cs="Times New Roman" w:ascii="Times New Roman" w:hAnsi="Times New Roman"/>
          <w:sz w:val="24"/>
          <w:szCs w:val="24"/>
          <w:lang w:val="pt-BR" w:bidi="ar-SA"/>
        </w:rPr>
        <w:t xml:space="preserve"> (Tese de Doutorado em Ciência Política, UFRGS). Obtido em: http://www.lume.ufrgs.br/bitstream/handle/10183/72752/000881282.pdf?se-quence=1</w:t>
      </w:r>
    </w:p>
    <w:p>
      <w:pPr>
        <w:pStyle w:val="Corpodotexto"/>
        <w:spacing w:lineRule="auto" w:line="240"/>
        <w:rPr>
          <w:rFonts w:cs="Times New Roman" w:ascii="Times New Roman" w:hAnsi="Times New Roman"/>
          <w:sz w:val="24"/>
          <w:szCs w:val="24"/>
          <w:lang w:val="pt-BR" w:bidi="ar-SA"/>
        </w:rPr>
      </w:pPr>
      <w:r>
        <w:rPr>
          <w:rFonts w:cs="Times New Roman" w:ascii="Times New Roman" w:hAnsi="Times New Roman"/>
          <w:sz w:val="24"/>
          <w:szCs w:val="24"/>
          <w:lang w:val="pt-BR" w:bidi="ar-SA"/>
        </w:rPr>
      </w:r>
    </w:p>
    <w:p>
      <w:pPr>
        <w:pStyle w:val="Corpodotexto"/>
        <w:spacing w:lineRule="auto" w:line="240" w:before="0" w:after="0"/>
        <w:jc w:val="both"/>
        <w:rPr>
          <w:rFonts w:cs="Times New Roman" w:ascii="Times New Roman" w:hAnsi="Times New Roman"/>
          <w:sz w:val="24"/>
          <w:szCs w:val="24"/>
          <w:lang w:val="pt-BR" w:bidi="ar-SA"/>
        </w:rPr>
      </w:pPr>
      <w:r>
        <w:rPr>
          <w:rFonts w:cs="Times New Roman" w:ascii="Times New Roman" w:hAnsi="Times New Roman"/>
          <w:sz w:val="24"/>
          <w:szCs w:val="24"/>
          <w:lang w:val="pt-BR" w:bidi="ar-SA"/>
        </w:rPr>
        <w:t xml:space="preserve">LAFER, C. (2002), </w:t>
      </w:r>
      <w:r>
        <w:rPr>
          <w:rFonts w:eastAsia="Times New Roman" w:cs="Times New Roman" w:ascii="Times New Roman" w:hAnsi="Times New Roman"/>
          <w:i/>
          <w:sz w:val="24"/>
          <w:szCs w:val="24"/>
          <w:lang w:val="pt-BR" w:bidi="ar-SA"/>
        </w:rPr>
        <w:t>Mudam-se os tempos: diplomacia brasileira</w:t>
      </w:r>
      <w:r>
        <w:rPr>
          <w:rFonts w:cs="Times New Roman" w:ascii="Times New Roman" w:hAnsi="Times New Roman"/>
          <w:sz w:val="24"/>
          <w:szCs w:val="24"/>
          <w:lang w:val="pt-BR" w:bidi="ar-SA"/>
        </w:rPr>
        <w:t>. Brasília, Funag/Ipri.</w:t>
      </w:r>
    </w:p>
    <w:p>
      <w:pPr>
        <w:pStyle w:val="Corpodotexto"/>
        <w:spacing w:lineRule="auto" w:line="240"/>
        <w:rPr>
          <w:rFonts w:cs="Times New Roman" w:ascii="Times New Roman" w:hAnsi="Times New Roman"/>
          <w:sz w:val="24"/>
          <w:szCs w:val="24"/>
          <w:lang w:val="pt-BR" w:bidi="ar-SA"/>
        </w:rPr>
      </w:pPr>
      <w:r>
        <w:rPr>
          <w:rFonts w:cs="Times New Roman" w:ascii="Times New Roman" w:hAnsi="Times New Roman"/>
          <w:sz w:val="24"/>
          <w:szCs w:val="24"/>
          <w:lang w:val="pt-BR" w:bidi="ar-SA"/>
        </w:rPr>
      </w:r>
    </w:p>
    <w:p>
      <w:pPr>
        <w:pStyle w:val="Corpodotexto"/>
        <w:spacing w:lineRule="auto" w:line="240" w:before="0" w:after="0"/>
        <w:jc w:val="both"/>
        <w:rPr>
          <w:rFonts w:cs="Times New Roman" w:ascii="Times New Roman" w:hAnsi="Times New Roman"/>
          <w:sz w:val="24"/>
          <w:szCs w:val="24"/>
          <w:lang w:val="pt-BR" w:bidi="ar-SA"/>
        </w:rPr>
      </w:pPr>
      <w:r>
        <w:rPr>
          <w:rFonts w:cs="Times New Roman" w:ascii="Times New Roman" w:hAnsi="Times New Roman"/>
          <w:sz w:val="24"/>
          <w:szCs w:val="24"/>
          <w:lang w:val="pt-BR" w:bidi="ar-SA"/>
        </w:rPr>
        <w:t>LAMPREIA, Luiz Felipe. (1998), “</w:t>
      </w:r>
      <w:r>
        <w:rPr>
          <w:rFonts w:eastAsia="Times New Roman" w:cs="Times New Roman" w:ascii="Times New Roman" w:hAnsi="Times New Roman"/>
          <w:sz w:val="24"/>
          <w:szCs w:val="24"/>
          <w:lang w:val="pt-BR" w:bidi="ar-SA"/>
        </w:rPr>
        <w:t>A Política Externa do Governo FHC: Continuidade e Renovação”</w:t>
      </w:r>
      <w:r>
        <w:rPr>
          <w:rFonts w:cs="Times New Roman" w:ascii="Times New Roman" w:hAnsi="Times New Roman"/>
          <w:sz w:val="24"/>
          <w:szCs w:val="24"/>
          <w:lang w:val="pt-BR" w:bidi="ar-SA"/>
        </w:rPr>
        <w:t xml:space="preserve">. </w:t>
      </w:r>
      <w:r>
        <w:rPr>
          <w:rFonts w:eastAsia="Times New Roman" w:cs="Times New Roman" w:ascii="Times New Roman" w:hAnsi="Times New Roman"/>
          <w:sz w:val="24"/>
          <w:szCs w:val="24"/>
          <w:lang w:val="pt-BR" w:bidi="ar-SA"/>
        </w:rPr>
        <w:t>Revista Brasileira de Política Internacional,</w:t>
      </w:r>
      <w:r>
        <w:rPr>
          <w:rFonts w:cs="Times New Roman" w:ascii="Times New Roman" w:hAnsi="Times New Roman"/>
          <w:sz w:val="24"/>
          <w:szCs w:val="24"/>
          <w:lang w:val="pt-BR" w:bidi="ar-SA"/>
        </w:rPr>
        <w:t xml:space="preserve"> vol. 41, no. 2, p. 5-17.</w:t>
      </w:r>
    </w:p>
    <w:p>
      <w:pPr>
        <w:pStyle w:val="Corpodotexto"/>
        <w:spacing w:lineRule="auto" w:line="240"/>
        <w:rPr>
          <w:rFonts w:cs="Times New Roman" w:ascii="Times New Roman" w:hAnsi="Times New Roman"/>
          <w:sz w:val="24"/>
          <w:szCs w:val="24"/>
          <w:lang w:val="pt-BR" w:bidi="ar-SA"/>
        </w:rPr>
      </w:pPr>
      <w:r>
        <w:rPr>
          <w:rFonts w:cs="Times New Roman" w:ascii="Times New Roman" w:hAnsi="Times New Roman"/>
          <w:sz w:val="24"/>
          <w:szCs w:val="24"/>
          <w:lang w:val="pt-BR" w:bidi="ar-SA"/>
        </w:rPr>
      </w:r>
    </w:p>
    <w:p>
      <w:pPr>
        <w:pStyle w:val="Corpodotexto"/>
        <w:spacing w:lineRule="auto" w:line="240" w:before="0" w:after="0"/>
        <w:jc w:val="both"/>
        <w:rPr>
          <w:rFonts w:cs="Times New Roman" w:ascii="Times New Roman" w:hAnsi="Times New Roman"/>
          <w:sz w:val="24"/>
          <w:szCs w:val="24"/>
          <w:lang w:val="pt-BR" w:bidi="ar-SA"/>
        </w:rPr>
      </w:pPr>
      <w:r>
        <w:rPr>
          <w:rFonts w:cs="Times New Roman" w:ascii="Times New Roman" w:hAnsi="Times New Roman"/>
          <w:sz w:val="24"/>
          <w:szCs w:val="24"/>
          <w:lang w:val="pt-BR" w:bidi="ar-SA"/>
        </w:rPr>
        <w:t xml:space="preserve">LAMPREIA, Luiz Felipe. (1999), </w:t>
      </w:r>
      <w:r>
        <w:rPr>
          <w:rFonts w:eastAsia="Times New Roman" w:cs="Times New Roman" w:ascii="Times New Roman" w:hAnsi="Times New Roman"/>
          <w:i/>
          <w:sz w:val="24"/>
          <w:szCs w:val="24"/>
          <w:lang w:val="pt-BR" w:bidi="ar-SA"/>
        </w:rPr>
        <w:t>Diplomacia brasileira.</w:t>
      </w:r>
      <w:r>
        <w:rPr>
          <w:rFonts w:cs="Times New Roman" w:ascii="Times New Roman" w:hAnsi="Times New Roman"/>
          <w:sz w:val="24"/>
          <w:szCs w:val="24"/>
          <w:lang w:val="pt-BR" w:bidi="ar-SA"/>
        </w:rPr>
        <w:t xml:space="preserve"> Rio de Janeiro, Lacerda Editora.</w:t>
      </w:r>
    </w:p>
    <w:p>
      <w:pPr>
        <w:pStyle w:val="Corpodotexto"/>
        <w:spacing w:lineRule="auto" w:line="240"/>
        <w:rPr>
          <w:rFonts w:cs="Times New Roman" w:ascii="Times New Roman" w:hAnsi="Times New Roman"/>
          <w:sz w:val="24"/>
          <w:szCs w:val="24"/>
          <w:lang w:val="pt-BR" w:bidi="ar-SA"/>
        </w:rPr>
      </w:pPr>
      <w:r>
        <w:rPr>
          <w:rFonts w:cs="Times New Roman" w:ascii="Times New Roman" w:hAnsi="Times New Roman"/>
          <w:sz w:val="24"/>
          <w:szCs w:val="24"/>
          <w:lang w:val="pt-BR" w:bidi="ar-SA"/>
        </w:rPr>
      </w:r>
    </w:p>
    <w:p>
      <w:pPr>
        <w:pStyle w:val="Corpodotexto"/>
        <w:spacing w:lineRule="auto" w:line="240" w:before="0" w:after="0"/>
        <w:jc w:val="both"/>
        <w:rPr>
          <w:rFonts w:cs="Times New Roman" w:ascii="Times New Roman" w:hAnsi="Times New Roman"/>
          <w:sz w:val="24"/>
          <w:szCs w:val="24"/>
          <w:lang w:val="pt-BR" w:bidi="ar-SA"/>
        </w:rPr>
      </w:pPr>
      <w:r>
        <w:rPr>
          <w:rFonts w:cs="Times New Roman" w:ascii="Times New Roman" w:hAnsi="Times New Roman"/>
          <w:sz w:val="24"/>
          <w:szCs w:val="24"/>
          <w:lang w:val="pt-BR" w:bidi="ar-SA"/>
        </w:rPr>
        <w:t xml:space="preserve">MATTOS, Fernando Preusser de. (2013). </w:t>
      </w:r>
      <w:r>
        <w:rPr>
          <w:rFonts w:cs="Times New Roman" w:ascii="Times New Roman" w:hAnsi="Times New Roman"/>
          <w:i/>
          <w:iCs/>
          <w:sz w:val="24"/>
          <w:szCs w:val="24"/>
          <w:lang w:val="pt-BR" w:bidi="ar-SA"/>
        </w:rPr>
        <w:t>Agendas de Segurança do Brasil e dos Estados Unidos da América para o Entorno Estratégico Brasileiro.</w:t>
      </w:r>
      <w:r>
        <w:rPr>
          <w:rFonts w:cs="Times New Roman" w:ascii="Times New Roman" w:hAnsi="Times New Roman"/>
          <w:sz w:val="24"/>
          <w:szCs w:val="24"/>
          <w:lang w:val="pt-BR" w:bidi="ar-SA"/>
        </w:rPr>
        <w:t xml:space="preserve"> (Trabalho de Conclusão de Curso Bacharel em Relações Internacionais, UFRGS). Obtido em: http://www.lume.ufrgs.br/bitstream/handle/10183/72752/000881282.pdf?se-quence=1</w:t>
      </w:r>
    </w:p>
    <w:p>
      <w:pPr>
        <w:pStyle w:val="Corpodotexto"/>
        <w:spacing w:lineRule="auto" w:line="240" w:before="0" w:after="0"/>
        <w:jc w:val="both"/>
        <w:rPr>
          <w:rFonts w:cs="Times New Roman" w:ascii="Times New Roman" w:hAnsi="Times New Roman"/>
          <w:sz w:val="24"/>
          <w:szCs w:val="24"/>
          <w:lang w:val="pt-BR" w:bidi="ar-SA"/>
        </w:rPr>
      </w:pPr>
      <w:r>
        <w:rPr>
          <w:rFonts w:cs="Times New Roman" w:ascii="Times New Roman" w:hAnsi="Times New Roman"/>
          <w:sz w:val="24"/>
          <w:szCs w:val="24"/>
          <w:lang w:val="pt-BR" w:bidi="ar-SA"/>
        </w:rPr>
      </w:r>
    </w:p>
    <w:p>
      <w:pPr>
        <w:pStyle w:val="Corpodotexto"/>
        <w:spacing w:lineRule="auto" w:line="240" w:before="0" w:after="0"/>
        <w:jc w:val="both"/>
        <w:rPr>
          <w:rFonts w:cs="Times New Roman" w:ascii="Times New Roman" w:hAnsi="Times New Roman"/>
          <w:sz w:val="24"/>
          <w:szCs w:val="24"/>
          <w:lang w:val="pt-BR" w:bidi="ar-SA"/>
        </w:rPr>
      </w:pPr>
      <w:r>
        <w:rPr>
          <w:rFonts w:cs="Times New Roman" w:ascii="Times New Roman" w:hAnsi="Times New Roman"/>
          <w:sz w:val="24"/>
          <w:szCs w:val="24"/>
          <w:lang w:val="pt-BR" w:bidi="ar-SA"/>
        </w:rPr>
        <w:t xml:space="preserve">MELLO, Wallace da Silva. (2011), </w:t>
      </w:r>
      <w:r>
        <w:rPr>
          <w:rFonts w:eastAsia="Times New Roman" w:cs="Times New Roman" w:ascii="Times New Roman" w:hAnsi="Times New Roman"/>
          <w:i/>
          <w:sz w:val="24"/>
          <w:szCs w:val="24"/>
          <w:lang w:val="pt-BR" w:bidi="ar-SA"/>
        </w:rPr>
        <w:t>Forças Armadas, Nova República e conjecturas para um novo papel institucional.</w:t>
      </w:r>
      <w:r>
        <w:rPr>
          <w:rFonts w:cs="Times New Roman" w:ascii="Times New Roman" w:hAnsi="Times New Roman"/>
          <w:sz w:val="24"/>
          <w:szCs w:val="24"/>
          <w:lang w:val="pt-BR" w:bidi="ar-SA"/>
        </w:rPr>
        <w:t xml:space="preserve"> Centro de Pesquisas Estratégicas Paulino Soares de Sousa - Universidade Federal de Juiz de Fora. Obtido em: www.ecsbdefesa.com.br/defesa/fts/FANRPI.pdf</w:t>
      </w:r>
    </w:p>
    <w:p>
      <w:pPr>
        <w:pStyle w:val="Corpodotexto"/>
        <w:spacing w:lineRule="auto" w:line="240"/>
        <w:rPr>
          <w:rFonts w:cs="Times New Roman" w:ascii="Times New Roman" w:hAnsi="Times New Roman"/>
          <w:sz w:val="24"/>
          <w:szCs w:val="24"/>
          <w:lang w:val="pt-BR" w:bidi="ar-SA"/>
        </w:rPr>
      </w:pPr>
      <w:r>
        <w:rPr>
          <w:rFonts w:cs="Times New Roman" w:ascii="Times New Roman" w:hAnsi="Times New Roman"/>
          <w:sz w:val="24"/>
          <w:szCs w:val="24"/>
          <w:lang w:val="pt-BR" w:bidi="ar-SA"/>
        </w:rPr>
      </w:r>
    </w:p>
    <w:p>
      <w:pPr>
        <w:pStyle w:val="Corpodotexto"/>
        <w:spacing w:lineRule="auto" w:line="240" w:before="0" w:after="0"/>
        <w:jc w:val="both"/>
        <w:rPr>
          <w:rFonts w:cs="Times New Roman" w:ascii="Times New Roman" w:hAnsi="Times New Roman"/>
          <w:sz w:val="24"/>
          <w:szCs w:val="24"/>
          <w:lang w:val="pt-BR" w:bidi="ar-SA"/>
        </w:rPr>
      </w:pPr>
      <w:r>
        <w:rPr>
          <w:rFonts w:cs="Times New Roman" w:ascii="Times New Roman" w:hAnsi="Times New Roman"/>
          <w:sz w:val="24"/>
          <w:szCs w:val="24"/>
          <w:lang w:val="pt-BR" w:bidi="ar-SA"/>
        </w:rPr>
        <w:t xml:space="preserve">OLIVEIRA, Andréa B. C. De &amp; SILVA, Caroline C. V. e. (2011), Política de Defesa Nacional, Estratégia Nacional de Defesa e Doutrina Militar de Defesa: América do Sul e Segurança Regional. In: </w:t>
      </w:r>
      <w:r>
        <w:rPr>
          <w:rFonts w:cs="Times New Roman" w:ascii="Times New Roman" w:hAnsi="Times New Roman"/>
          <w:i/>
          <w:iCs/>
          <w:sz w:val="24"/>
          <w:szCs w:val="24"/>
          <w:lang w:val="pt-BR" w:bidi="ar-SA"/>
        </w:rPr>
        <w:t xml:space="preserve">Anais do Encontro, </w:t>
      </w:r>
      <w:r>
        <w:rPr>
          <w:rFonts w:cs="Times New Roman" w:ascii="Times New Roman" w:hAnsi="Times New Roman"/>
          <w:sz w:val="24"/>
          <w:szCs w:val="24"/>
          <w:lang w:val="pt-BR" w:bidi="ar-SA"/>
        </w:rPr>
        <w:t>35º Encontro Anual da ANPOCS. Caxambu: Associação Nacional de Pós-Graduação e Pesquisa em Ciências Sociais.</w:t>
      </w:r>
    </w:p>
    <w:p>
      <w:pPr>
        <w:pStyle w:val="Corpodotexto"/>
        <w:spacing w:lineRule="auto" w:line="240"/>
        <w:rPr>
          <w:rFonts w:cs="Times New Roman" w:ascii="Times New Roman" w:hAnsi="Times New Roman"/>
          <w:sz w:val="24"/>
          <w:szCs w:val="24"/>
          <w:lang w:val="pt-BR" w:bidi="ar-SA"/>
        </w:rPr>
      </w:pPr>
      <w:r>
        <w:rPr>
          <w:rFonts w:cs="Times New Roman" w:ascii="Times New Roman" w:hAnsi="Times New Roman"/>
          <w:sz w:val="24"/>
          <w:szCs w:val="24"/>
          <w:lang w:val="pt-BR" w:bidi="ar-SA"/>
        </w:rPr>
      </w:r>
    </w:p>
    <w:p>
      <w:pPr>
        <w:pStyle w:val="Corpodotexto"/>
        <w:spacing w:lineRule="auto" w:line="240" w:before="0" w:after="0"/>
        <w:jc w:val="both"/>
        <w:rPr>
          <w:rFonts w:cs="Times New Roman" w:ascii="Times New Roman" w:hAnsi="Times New Roman"/>
          <w:sz w:val="24"/>
          <w:szCs w:val="24"/>
          <w:lang w:val="pt-BR" w:bidi="ar-SA"/>
        </w:rPr>
      </w:pPr>
      <w:r>
        <w:rPr>
          <w:rFonts w:cs="Times New Roman" w:ascii="Times New Roman" w:hAnsi="Times New Roman"/>
          <w:sz w:val="24"/>
          <w:szCs w:val="24"/>
          <w:lang w:val="pt-BR" w:bidi="ar-SA"/>
        </w:rPr>
        <w:t xml:space="preserve">OLIVEIRA, Guilherme Ziebell de, BRITES, Pedro Vinícius Pereira &amp; MUNHOZ, Athos. (2012), O Papel do Ministério da Defesa na Política Externa Brasileira para a América do Sul. In: </w:t>
      </w:r>
      <w:r>
        <w:rPr>
          <w:rFonts w:cs="Times New Roman" w:ascii="Times New Roman" w:hAnsi="Times New Roman"/>
          <w:i/>
          <w:iCs/>
          <w:sz w:val="24"/>
          <w:szCs w:val="24"/>
          <w:lang w:val="pt-BR" w:bidi="ar-SA"/>
        </w:rPr>
        <w:t>Anais do Seminário Brasileiro de Estudos Estratégicos Internacionais</w:t>
      </w:r>
      <w:r>
        <w:rPr>
          <w:rFonts w:cs="Times New Roman" w:ascii="Times New Roman" w:hAnsi="Times New Roman"/>
          <w:sz w:val="24"/>
          <w:szCs w:val="24"/>
          <w:lang w:val="pt-BR" w:bidi="ar-SA"/>
        </w:rPr>
        <w:t>. Porto Alegre: Seminário Brasileiro de Estudos Estratégicos Internacionais.</w:t>
      </w:r>
    </w:p>
    <w:p>
      <w:pPr>
        <w:pStyle w:val="Corpodotexto"/>
        <w:spacing w:lineRule="auto" w:line="240"/>
        <w:rPr>
          <w:rFonts w:cs="Times New Roman" w:ascii="Times New Roman" w:hAnsi="Times New Roman"/>
          <w:sz w:val="24"/>
          <w:szCs w:val="24"/>
          <w:lang w:val="pt-BR" w:bidi="ar-SA"/>
        </w:rPr>
      </w:pPr>
      <w:r>
        <w:rPr>
          <w:rFonts w:cs="Times New Roman" w:ascii="Times New Roman" w:hAnsi="Times New Roman"/>
          <w:sz w:val="24"/>
          <w:szCs w:val="24"/>
          <w:lang w:val="pt-BR" w:bidi="ar-SA"/>
        </w:rPr>
      </w:r>
    </w:p>
    <w:p>
      <w:pPr>
        <w:pStyle w:val="Corpodotexto"/>
        <w:spacing w:lineRule="auto" w:line="240" w:before="0" w:after="0"/>
        <w:jc w:val="both"/>
        <w:rPr>
          <w:rFonts w:cs="Times New Roman" w:ascii="Times New Roman" w:hAnsi="Times New Roman"/>
          <w:sz w:val="24"/>
          <w:szCs w:val="24"/>
          <w:lang w:val="pt-BR" w:bidi="ar-SA"/>
        </w:rPr>
      </w:pPr>
      <w:r>
        <w:rPr>
          <w:rFonts w:cs="Times New Roman" w:ascii="Times New Roman" w:hAnsi="Times New Roman"/>
          <w:sz w:val="24"/>
          <w:szCs w:val="24"/>
          <w:lang w:val="pt-BR" w:bidi="ar-SA"/>
        </w:rPr>
        <w:t>PAGLIARI, Graciela de Conti. (2009), Segurança regional e política externa brasileira:as relações entre Brasil e América do Sul, 1990-2006. (Tese de Doutorado em Relações Internacionais, Universidade de Brasília). Obtida em: http://repositorio.unb.br/handle/10482/4361</w:t>
      </w:r>
    </w:p>
    <w:p>
      <w:pPr>
        <w:pStyle w:val="Corpodotexto"/>
        <w:spacing w:lineRule="auto" w:line="240"/>
        <w:rPr>
          <w:rFonts w:cs="Times New Roman" w:ascii="Times New Roman" w:hAnsi="Times New Roman"/>
          <w:sz w:val="24"/>
          <w:szCs w:val="24"/>
          <w:lang w:val="pt-BR" w:bidi="ar-SA"/>
        </w:rPr>
      </w:pPr>
      <w:r>
        <w:rPr>
          <w:rFonts w:cs="Times New Roman" w:ascii="Times New Roman" w:hAnsi="Times New Roman"/>
          <w:sz w:val="24"/>
          <w:szCs w:val="24"/>
          <w:lang w:val="pt-BR" w:bidi="ar-SA"/>
        </w:rPr>
      </w:r>
    </w:p>
    <w:p>
      <w:pPr>
        <w:pStyle w:val="Corpodotexto"/>
        <w:spacing w:lineRule="auto" w:line="240" w:before="0" w:after="0"/>
        <w:jc w:val="both"/>
        <w:rPr>
          <w:rFonts w:cs="Times New Roman" w:ascii="Times New Roman" w:hAnsi="Times New Roman"/>
          <w:sz w:val="24"/>
          <w:szCs w:val="24"/>
          <w:lang w:val="pt-BR" w:bidi="ar-SA"/>
        </w:rPr>
      </w:pPr>
      <w:r>
        <w:rPr>
          <w:rFonts w:cs="Times New Roman" w:ascii="Times New Roman" w:hAnsi="Times New Roman"/>
          <w:sz w:val="24"/>
          <w:szCs w:val="24"/>
          <w:lang w:val="pt-BR" w:bidi="ar-SA"/>
        </w:rPr>
        <w:t xml:space="preserve">PROENÇA Jr., Domício e DINIZ, Eugênio. (1998), </w:t>
      </w:r>
      <w:r>
        <w:rPr>
          <w:rFonts w:eastAsia="Times New Roman" w:cs="Times New Roman" w:ascii="Times New Roman" w:hAnsi="Times New Roman"/>
          <w:i/>
          <w:sz w:val="24"/>
          <w:szCs w:val="24"/>
          <w:lang w:val="pt-BR" w:bidi="ar-SA"/>
        </w:rPr>
        <w:t>Política de defesa no Brasil: uma análise crítica.</w:t>
      </w:r>
      <w:r>
        <w:rPr>
          <w:rFonts w:cs="Times New Roman" w:ascii="Times New Roman" w:hAnsi="Times New Roman"/>
          <w:sz w:val="24"/>
          <w:szCs w:val="24"/>
          <w:lang w:val="pt-BR" w:bidi="ar-SA"/>
        </w:rPr>
        <w:t xml:space="preserve"> Brasília, Editora Universidade de Brasília.</w:t>
      </w:r>
    </w:p>
    <w:p>
      <w:pPr>
        <w:pStyle w:val="Corpodotexto"/>
        <w:spacing w:lineRule="auto" w:line="240"/>
        <w:rPr>
          <w:rFonts w:cs="Times New Roman" w:ascii="Times New Roman" w:hAnsi="Times New Roman"/>
          <w:sz w:val="24"/>
          <w:szCs w:val="24"/>
          <w:lang w:val="pt-BR" w:bidi="ar-SA"/>
        </w:rPr>
      </w:pPr>
      <w:r>
        <w:rPr>
          <w:rFonts w:cs="Times New Roman" w:ascii="Times New Roman" w:hAnsi="Times New Roman"/>
          <w:sz w:val="24"/>
          <w:szCs w:val="24"/>
          <w:lang w:val="pt-BR" w:bidi="ar-SA"/>
        </w:rPr>
      </w:r>
    </w:p>
    <w:p>
      <w:pPr>
        <w:pStyle w:val="Corpodotexto"/>
        <w:spacing w:lineRule="auto" w:line="240" w:before="0" w:after="0"/>
        <w:jc w:val="both"/>
        <w:rPr>
          <w:rFonts w:cs="Times New Roman" w:ascii="Times New Roman" w:hAnsi="Times New Roman"/>
          <w:sz w:val="24"/>
          <w:szCs w:val="24"/>
          <w:lang w:val="pt-BR" w:bidi="ar-SA"/>
        </w:rPr>
      </w:pPr>
      <w:r>
        <w:rPr>
          <w:rFonts w:cs="Times New Roman" w:ascii="Times New Roman" w:hAnsi="Times New Roman"/>
          <w:sz w:val="24"/>
          <w:szCs w:val="24"/>
          <w:lang w:val="pt-BR" w:bidi="ar-SA"/>
        </w:rPr>
        <w:t xml:space="preserve">SANTANA, Vagner José. (2007), </w:t>
      </w:r>
      <w:r>
        <w:rPr>
          <w:rFonts w:cs="Times New Roman" w:ascii="Times New Roman" w:hAnsi="Times New Roman"/>
          <w:i/>
          <w:iCs/>
          <w:sz w:val="24"/>
          <w:szCs w:val="24"/>
          <w:lang w:val="pt-BR" w:bidi="ar-SA"/>
        </w:rPr>
        <w:t>Leitura crítica do discurso de Política de Defesa Nacional</w:t>
      </w:r>
      <w:r>
        <w:rPr>
          <w:rFonts w:cs="Times New Roman" w:ascii="Times New Roman" w:hAnsi="Times New Roman"/>
          <w:sz w:val="24"/>
          <w:szCs w:val="24"/>
          <w:lang w:val="pt-BR" w:bidi="ar-SA"/>
        </w:rPr>
        <w:t>. (Dissertação de Mestrado em Linguística, Universidade de Brasília). Obtida em: http://repositorio.unb.br/bitstream/10482/2141/1/Dissertacao%20versao%20final%20vagner.pdf</w:t>
      </w:r>
    </w:p>
    <w:p>
      <w:pPr>
        <w:pStyle w:val="Corpodotexto"/>
        <w:spacing w:lineRule="auto" w:line="240"/>
        <w:rPr>
          <w:rFonts w:cs="Times New Roman" w:ascii="Times New Roman" w:hAnsi="Times New Roman"/>
          <w:sz w:val="24"/>
          <w:szCs w:val="24"/>
          <w:lang w:val="pt-BR" w:bidi="ar-SA"/>
        </w:rPr>
      </w:pPr>
      <w:r>
        <w:rPr>
          <w:rFonts w:cs="Times New Roman" w:ascii="Times New Roman" w:hAnsi="Times New Roman"/>
          <w:sz w:val="24"/>
          <w:szCs w:val="24"/>
          <w:lang w:val="pt-BR" w:bidi="ar-SA"/>
        </w:rPr>
      </w:r>
    </w:p>
    <w:p>
      <w:pPr>
        <w:pStyle w:val="Corpodotexto"/>
        <w:spacing w:lineRule="auto" w:line="240" w:before="0" w:after="0"/>
        <w:jc w:val="both"/>
        <w:rPr>
          <w:rFonts w:cs="Times New Roman" w:ascii="Times New Roman" w:hAnsi="Times New Roman"/>
          <w:sz w:val="24"/>
          <w:szCs w:val="24"/>
          <w:lang w:val="pt-BR" w:bidi="ar-SA"/>
        </w:rPr>
      </w:pPr>
      <w:r>
        <w:rPr>
          <w:rFonts w:cs="Times New Roman" w:ascii="Times New Roman" w:hAnsi="Times New Roman"/>
          <w:sz w:val="24"/>
          <w:szCs w:val="24"/>
          <w:lang w:val="pt-BR" w:bidi="ar-SA"/>
        </w:rPr>
        <w:t xml:space="preserve">SANTOS, Alexandre Hamilton Oliveira. (2006), Política Pública de Defesa e Segurança no Brasil e Geopolítica Amazônica: O Caso dos Sistemas de Proteção e Vigilância da Amazônia (SIPAM / SIVAM). In: </w:t>
      </w:r>
      <w:r>
        <w:rPr>
          <w:rFonts w:cs="Times New Roman" w:ascii="Times New Roman" w:hAnsi="Times New Roman"/>
          <w:i/>
          <w:iCs/>
          <w:sz w:val="24"/>
          <w:szCs w:val="24"/>
          <w:lang w:val="pt-BR" w:bidi="ar-SA"/>
        </w:rPr>
        <w:t>Anais do Evento,</w:t>
      </w:r>
      <w:r>
        <w:rPr>
          <w:rFonts w:cs="Times New Roman" w:ascii="Times New Roman" w:hAnsi="Times New Roman"/>
          <w:sz w:val="24"/>
          <w:szCs w:val="24"/>
          <w:lang w:val="pt-BR" w:bidi="ar-SA"/>
        </w:rPr>
        <w:t xml:space="preserve"> II Encontro de Administração Pública e Governança. São Paulo: Associação Nacional de Pós-Graduação e Pesquisa em Administração).</w:t>
      </w:r>
    </w:p>
    <w:p>
      <w:pPr>
        <w:pStyle w:val="Corpodotexto"/>
        <w:spacing w:lineRule="auto" w:line="240"/>
        <w:rPr>
          <w:rFonts w:cs="Times New Roman" w:ascii="Times New Roman" w:hAnsi="Times New Roman"/>
          <w:sz w:val="24"/>
          <w:szCs w:val="24"/>
          <w:lang w:val="pt-BR" w:bidi="ar-SA"/>
        </w:rPr>
      </w:pPr>
      <w:r>
        <w:rPr>
          <w:rFonts w:cs="Times New Roman" w:ascii="Times New Roman" w:hAnsi="Times New Roman"/>
          <w:sz w:val="24"/>
          <w:szCs w:val="24"/>
          <w:lang w:val="pt-BR" w:bidi="ar-SA"/>
        </w:rPr>
      </w:r>
    </w:p>
    <w:p>
      <w:pPr>
        <w:pStyle w:val="Corpodotexto"/>
        <w:spacing w:lineRule="auto" w:line="240" w:before="0" w:after="0"/>
        <w:jc w:val="both"/>
        <w:rPr>
          <w:rFonts w:cs="Times New Roman" w:ascii="Times New Roman" w:hAnsi="Times New Roman"/>
          <w:sz w:val="24"/>
          <w:szCs w:val="24"/>
          <w:lang w:val="pt-BR" w:bidi="ar-SA"/>
        </w:rPr>
      </w:pPr>
      <w:r>
        <w:rPr>
          <w:rFonts w:cs="Times New Roman" w:ascii="Times New Roman" w:hAnsi="Times New Roman"/>
          <w:sz w:val="24"/>
          <w:szCs w:val="24"/>
          <w:lang w:val="pt-BR" w:bidi="ar-SA"/>
        </w:rPr>
        <w:t xml:space="preserve">SILVA, André. (2009), </w:t>
      </w:r>
      <w:r>
        <w:rPr>
          <w:rFonts w:eastAsia="Times New Roman" w:cs="Times New Roman" w:ascii="Times New Roman" w:hAnsi="Times New Roman"/>
          <w:i/>
          <w:sz w:val="24"/>
          <w:szCs w:val="24"/>
          <w:lang w:val="pt-BR" w:bidi="ar-SA"/>
        </w:rPr>
        <w:t>Do otimismo liberal à globalização assimétrica: a política externa do governo Fernando Henrique Cardoso</w:t>
      </w:r>
      <w:r>
        <w:rPr>
          <w:rFonts w:cs="Times New Roman" w:ascii="Times New Roman" w:hAnsi="Times New Roman"/>
          <w:sz w:val="24"/>
          <w:szCs w:val="24"/>
          <w:lang w:val="pt-BR" w:bidi="ar-SA"/>
        </w:rPr>
        <w:t>. Curitiba: Juruá.</w:t>
      </w:r>
    </w:p>
    <w:p>
      <w:pPr>
        <w:pStyle w:val="Corpodotexto"/>
        <w:spacing w:lineRule="auto" w:line="240"/>
        <w:rPr>
          <w:rFonts w:cs="Times New Roman" w:ascii="Times New Roman" w:hAnsi="Times New Roman"/>
          <w:sz w:val="24"/>
          <w:szCs w:val="24"/>
          <w:lang w:val="pt-BR" w:bidi="ar-SA"/>
        </w:rPr>
      </w:pPr>
      <w:r>
        <w:rPr>
          <w:rFonts w:cs="Times New Roman" w:ascii="Times New Roman" w:hAnsi="Times New Roman"/>
          <w:sz w:val="24"/>
          <w:szCs w:val="24"/>
          <w:lang w:val="pt-BR" w:bidi="ar-SA"/>
        </w:rPr>
      </w:r>
    </w:p>
    <w:p>
      <w:pPr>
        <w:pStyle w:val="Corpodotexto"/>
        <w:spacing w:lineRule="auto" w:line="240" w:before="0" w:after="0"/>
        <w:jc w:val="both"/>
        <w:rPr>
          <w:rFonts w:cs="Times New Roman" w:ascii="Times New Roman" w:hAnsi="Times New Roman"/>
          <w:sz w:val="24"/>
          <w:szCs w:val="24"/>
          <w:lang w:val="pt-BR" w:bidi="ar-SA"/>
        </w:rPr>
      </w:pPr>
      <w:r>
        <w:rPr>
          <w:rFonts w:cs="Times New Roman" w:ascii="Times New Roman" w:hAnsi="Times New Roman"/>
          <w:sz w:val="24"/>
          <w:szCs w:val="24"/>
          <w:lang w:val="pt-BR" w:bidi="ar-SA"/>
        </w:rPr>
        <w:t>SILVA, André Reis da. (2014), “</w:t>
      </w:r>
      <w:r>
        <w:rPr>
          <w:rFonts w:eastAsia="Times New Roman" w:cs="Times New Roman" w:ascii="Times New Roman" w:hAnsi="Times New Roman"/>
          <w:sz w:val="24"/>
          <w:szCs w:val="24"/>
          <w:lang w:val="pt-BR" w:bidi="ar-SA"/>
        </w:rPr>
        <w:t>Segurança e Desenvolvimento na Projeção Internacional do Brasil (2003-2013) ”</w:t>
      </w:r>
      <w:r>
        <w:rPr>
          <w:rFonts w:cs="Times New Roman" w:ascii="Times New Roman" w:hAnsi="Times New Roman"/>
          <w:sz w:val="24"/>
          <w:szCs w:val="24"/>
          <w:lang w:val="pt-BR" w:bidi="ar-SA"/>
        </w:rPr>
        <w:t>. In ARTURI, Carlos Schmidt (Org.). Políticas de Defesa, Inteligência e Segurança. Porto Alegre, UFRGS/CEGOV, pp. 66-83.</w:t>
      </w:r>
    </w:p>
    <w:p>
      <w:pPr>
        <w:pStyle w:val="Corpodotexto"/>
        <w:spacing w:lineRule="auto" w:line="240"/>
        <w:rPr>
          <w:rFonts w:cs="Times New Roman" w:ascii="Times New Roman" w:hAnsi="Times New Roman"/>
          <w:sz w:val="24"/>
          <w:szCs w:val="24"/>
          <w:lang w:val="pt-BR" w:bidi="ar-SA"/>
        </w:rPr>
      </w:pPr>
      <w:r>
        <w:rPr>
          <w:rFonts w:cs="Times New Roman" w:ascii="Times New Roman" w:hAnsi="Times New Roman"/>
          <w:sz w:val="24"/>
          <w:szCs w:val="24"/>
          <w:lang w:val="pt-BR" w:bidi="ar-SA"/>
        </w:rPr>
      </w:r>
    </w:p>
    <w:p>
      <w:pPr>
        <w:pStyle w:val="Corpodotexto"/>
        <w:spacing w:lineRule="auto" w:line="240" w:before="0" w:after="0"/>
        <w:jc w:val="both"/>
        <w:rPr>
          <w:rFonts w:cs="Times New Roman" w:ascii="Times New Roman" w:hAnsi="Times New Roman"/>
          <w:sz w:val="24"/>
          <w:szCs w:val="24"/>
          <w:lang w:val="pt-BR" w:bidi="ar-SA"/>
        </w:rPr>
      </w:pPr>
      <w:r>
        <w:rPr>
          <w:rFonts w:cs="Times New Roman" w:ascii="Times New Roman" w:hAnsi="Times New Roman"/>
          <w:sz w:val="24"/>
          <w:szCs w:val="24"/>
          <w:lang w:val="pt-BR" w:bidi="ar-SA"/>
        </w:rPr>
        <w:t xml:space="preserve">SILVA, Helder Pereira da. (2008), </w:t>
      </w:r>
      <w:r>
        <w:rPr>
          <w:rFonts w:cs="Times New Roman" w:ascii="Times New Roman" w:hAnsi="Times New Roman"/>
          <w:i/>
          <w:iCs/>
          <w:sz w:val="24"/>
          <w:szCs w:val="24"/>
          <w:lang w:val="pt-BR" w:bidi="ar-SA"/>
        </w:rPr>
        <w:t>A Política de Defesa Nacional e as diretrizes para o planejamento militar.</w:t>
      </w:r>
      <w:r>
        <w:rPr>
          <w:rFonts w:cs="Times New Roman" w:ascii="Times New Roman" w:hAnsi="Times New Roman"/>
          <w:b/>
          <w:sz w:val="24"/>
          <w:szCs w:val="24"/>
          <w:lang w:val="pt-BR" w:bidi="ar-SA"/>
        </w:rPr>
        <w:t xml:space="preserve"> (</w:t>
      </w:r>
      <w:r>
        <w:rPr>
          <w:rFonts w:cs="Times New Roman" w:ascii="Times New Roman" w:hAnsi="Times New Roman"/>
          <w:sz w:val="24"/>
          <w:szCs w:val="24"/>
          <w:lang w:val="pt-BR" w:bidi="ar-SA"/>
        </w:rPr>
        <w:t>Dissertação de Mestrado em Relações Internacionais, Universidade Federal Fluminense. Obtido em: http://www.defesa.gov.br/projetosweb/livrobranco/arquivos/espaco_pesquisador/Helder-Pereira.pdf.</w:t>
      </w:r>
    </w:p>
    <w:p>
      <w:pPr>
        <w:pStyle w:val="Corpodotexto"/>
        <w:spacing w:lineRule="auto" w:line="240"/>
        <w:rPr>
          <w:rFonts w:cs="Times New Roman" w:ascii="Times New Roman" w:hAnsi="Times New Roman"/>
          <w:sz w:val="24"/>
          <w:szCs w:val="24"/>
          <w:lang w:val="pt-BR" w:bidi="ar-SA"/>
        </w:rPr>
      </w:pPr>
      <w:r>
        <w:rPr>
          <w:rFonts w:cs="Times New Roman" w:ascii="Times New Roman" w:hAnsi="Times New Roman"/>
          <w:sz w:val="24"/>
          <w:szCs w:val="24"/>
          <w:lang w:val="pt-BR" w:bidi="ar-SA"/>
        </w:rPr>
      </w:r>
    </w:p>
    <w:p>
      <w:pPr>
        <w:pStyle w:val="Corpodotexto"/>
        <w:spacing w:lineRule="auto" w:line="240" w:before="0" w:after="0"/>
        <w:jc w:val="both"/>
        <w:rPr>
          <w:rFonts w:cs="Times New Roman" w:ascii="Times New Roman" w:hAnsi="Times New Roman"/>
          <w:sz w:val="24"/>
          <w:szCs w:val="24"/>
          <w:lang w:val="pt-BR" w:bidi="ar-SA"/>
        </w:rPr>
      </w:pPr>
      <w:r>
        <w:rPr>
          <w:rFonts w:cs="Times New Roman" w:ascii="Times New Roman" w:hAnsi="Times New Roman"/>
          <w:sz w:val="24"/>
          <w:szCs w:val="24"/>
          <w:lang w:val="pt-BR" w:bidi="ar-SA"/>
        </w:rPr>
        <w:t xml:space="preserve">SILVA, Marcos Valle Machado da. (2010), </w:t>
      </w:r>
      <w:r>
        <w:rPr>
          <w:rFonts w:eastAsia="Times New Roman" w:cs="Times New Roman" w:ascii="Times New Roman" w:hAnsi="Times New Roman"/>
          <w:i/>
          <w:sz w:val="24"/>
          <w:szCs w:val="24"/>
          <w:lang w:val="pt-BR" w:bidi="ar-SA"/>
        </w:rPr>
        <w:t>Política Externa, Segurança e Defesa nos Governos Lula e Cardoso.</w:t>
      </w:r>
      <w:r>
        <w:rPr>
          <w:rFonts w:cs="Times New Roman" w:ascii="Times New Roman" w:hAnsi="Times New Roman"/>
          <w:b/>
          <w:sz w:val="24"/>
          <w:szCs w:val="24"/>
          <w:lang w:val="pt-BR" w:bidi="ar-SA"/>
        </w:rPr>
        <w:t xml:space="preserve"> </w:t>
      </w:r>
      <w:r>
        <w:rPr>
          <w:rFonts w:cs="Times New Roman" w:ascii="Times New Roman" w:hAnsi="Times New Roman"/>
          <w:sz w:val="24"/>
          <w:szCs w:val="24"/>
          <w:lang w:val="pt-BR" w:bidi="ar-SA"/>
        </w:rPr>
        <w:t>Revista Debates, v.4, n.2, pp.159-177.</w:t>
      </w:r>
    </w:p>
    <w:p>
      <w:pPr>
        <w:pStyle w:val="Corpodotexto"/>
        <w:spacing w:lineRule="auto" w:line="240"/>
        <w:rPr>
          <w:rFonts w:cs="Times New Roman" w:ascii="Times New Roman" w:hAnsi="Times New Roman"/>
          <w:sz w:val="24"/>
          <w:szCs w:val="24"/>
          <w:lang w:val="pt-BR" w:bidi="ar-SA"/>
        </w:rPr>
      </w:pPr>
      <w:r>
        <w:rPr>
          <w:rFonts w:cs="Times New Roman" w:ascii="Times New Roman" w:hAnsi="Times New Roman"/>
          <w:sz w:val="24"/>
          <w:szCs w:val="24"/>
          <w:lang w:val="pt-BR" w:bidi="ar-SA"/>
        </w:rPr>
      </w:r>
    </w:p>
    <w:p>
      <w:pPr>
        <w:pStyle w:val="Corpodotexto"/>
        <w:spacing w:lineRule="auto" w:line="240" w:before="0" w:after="0"/>
        <w:jc w:val="both"/>
        <w:rPr>
          <w:rFonts w:cs="Times New Roman" w:ascii="Times New Roman" w:hAnsi="Times New Roman"/>
          <w:sz w:val="24"/>
          <w:szCs w:val="24"/>
          <w:lang w:val="pt-BR" w:bidi="ar-SA"/>
        </w:rPr>
      </w:pPr>
      <w:r>
        <w:rPr>
          <w:rFonts w:cs="Times New Roman" w:ascii="Times New Roman" w:hAnsi="Times New Roman"/>
          <w:sz w:val="24"/>
          <w:szCs w:val="24"/>
          <w:lang w:val="pt-BR" w:bidi="ar-SA"/>
        </w:rPr>
        <w:t>SIMÃO, Ana Regina. (2009), A Diplomacia Presidencial e o Processo de Inserção Internacional do Brasil: Um Estudo da Política Externa do Governo de Fernando Henrique Cardoso. In:</w:t>
      </w:r>
      <w:r>
        <w:rPr>
          <w:rFonts w:cs="Times New Roman" w:ascii="Times New Roman" w:hAnsi="Times New Roman"/>
          <w:i/>
          <w:iCs/>
          <w:sz w:val="24"/>
          <w:szCs w:val="24"/>
          <w:lang w:val="pt-BR" w:bidi="ar-SA"/>
        </w:rPr>
        <w:t xml:space="preserve"> Anais ANPUH,</w:t>
      </w:r>
      <w:r>
        <w:rPr>
          <w:rFonts w:cs="Times New Roman" w:ascii="Times New Roman" w:hAnsi="Times New Roman"/>
          <w:sz w:val="24"/>
          <w:szCs w:val="24"/>
          <w:lang w:val="pt-BR" w:bidi="ar-SA"/>
        </w:rPr>
        <w:t xml:space="preserve"> XXV Simpósio Nacional de História. Fortaleza: Associação Nacional de História.</w:t>
      </w:r>
    </w:p>
    <w:p>
      <w:pPr>
        <w:pStyle w:val="Corpodotexto"/>
        <w:spacing w:lineRule="auto" w:line="240" w:before="0" w:after="0"/>
        <w:jc w:val="both"/>
        <w:rPr>
          <w:rFonts w:cs="Times New Roman" w:ascii="Times New Roman" w:hAnsi="Times New Roman"/>
          <w:sz w:val="24"/>
          <w:szCs w:val="24"/>
          <w:lang w:val="pt-BR" w:bidi="ar-SA"/>
        </w:rPr>
      </w:pPr>
      <w:r>
        <w:rPr>
          <w:rFonts w:cs="Times New Roman" w:ascii="Times New Roman" w:hAnsi="Times New Roman"/>
          <w:sz w:val="24"/>
          <w:szCs w:val="24"/>
          <w:lang w:val="pt-BR" w:bidi="ar-SA"/>
        </w:rPr>
      </w:r>
    </w:p>
    <w:p>
      <w:pPr>
        <w:pStyle w:val="Corpodotexto"/>
        <w:spacing w:lineRule="auto" w:line="240" w:before="0" w:after="0"/>
        <w:jc w:val="both"/>
        <w:rPr>
          <w:rFonts w:cs="Times New Roman" w:ascii="Times New Roman" w:hAnsi="Times New Roman"/>
          <w:sz w:val="24"/>
          <w:szCs w:val="24"/>
          <w:lang w:val="pt-BR" w:bidi="ar-SA"/>
        </w:rPr>
      </w:pPr>
      <w:r>
        <w:rPr>
          <w:rFonts w:cs="Times New Roman" w:ascii="Times New Roman" w:hAnsi="Times New Roman"/>
          <w:sz w:val="24"/>
          <w:szCs w:val="24"/>
          <w:lang w:val="pt-BR" w:bidi="ar-SA"/>
        </w:rPr>
        <w:t>SOARES, Samuel Alves. (2011), “</w:t>
      </w:r>
      <w:r>
        <w:rPr>
          <w:rFonts w:eastAsia="Times New Roman" w:cs="Times New Roman" w:ascii="Times New Roman" w:hAnsi="Times New Roman"/>
          <w:sz w:val="24"/>
          <w:szCs w:val="24"/>
          <w:lang w:val="pt-BR" w:bidi="ar-SA"/>
        </w:rPr>
        <w:t>A Defesa na Política Externa da Era Lula: de uma Defesa elusiva a uma liderança proclamada</w:t>
      </w:r>
      <w:r>
        <w:rPr>
          <w:rFonts w:cs="Times New Roman" w:ascii="Times New Roman" w:hAnsi="Times New Roman"/>
          <w:sz w:val="24"/>
          <w:szCs w:val="24"/>
          <w:lang w:val="pt-BR" w:bidi="ar-SA"/>
        </w:rPr>
        <w:t>. ” In: A Política Externa Brasileira na Era Lula editador por FREIXO, Adriano de; et al (Org.). Rio de Janeiro: Apicuri,  pp. 71-88.</w:t>
      </w:r>
    </w:p>
    <w:p>
      <w:pPr>
        <w:pStyle w:val="Corpodotexto"/>
        <w:spacing w:lineRule="auto" w:line="240"/>
        <w:rPr>
          <w:rFonts w:cs="Times New Roman" w:ascii="Times New Roman" w:hAnsi="Times New Roman"/>
          <w:sz w:val="24"/>
          <w:szCs w:val="24"/>
          <w:lang w:val="pt-BR" w:bidi="ar-SA"/>
        </w:rPr>
      </w:pPr>
      <w:r>
        <w:rPr>
          <w:rFonts w:cs="Times New Roman" w:ascii="Times New Roman" w:hAnsi="Times New Roman"/>
          <w:sz w:val="24"/>
          <w:szCs w:val="24"/>
          <w:lang w:val="pt-BR" w:bidi="ar-SA"/>
        </w:rPr>
      </w:r>
    </w:p>
    <w:p>
      <w:pPr>
        <w:pStyle w:val="Corpodotexto"/>
        <w:spacing w:lineRule="auto" w:line="240" w:before="0" w:after="0"/>
        <w:jc w:val="both"/>
        <w:rPr>
          <w:rFonts w:cs="Times New Roman" w:ascii="Times New Roman" w:hAnsi="Times New Roman"/>
          <w:sz w:val="24"/>
          <w:szCs w:val="24"/>
          <w:lang w:val="pt-BR" w:bidi="ar-SA"/>
        </w:rPr>
      </w:pPr>
      <w:r>
        <w:rPr>
          <w:rFonts w:cs="Times New Roman" w:ascii="Times New Roman" w:hAnsi="Times New Roman"/>
          <w:sz w:val="24"/>
          <w:szCs w:val="24"/>
          <w:lang w:val="pt-BR" w:bidi="ar-SA"/>
        </w:rPr>
        <w:t>SOARES, Samuel Alves. (2008), “</w:t>
      </w:r>
      <w:r>
        <w:rPr>
          <w:rFonts w:eastAsia="Times New Roman" w:cs="Times New Roman" w:ascii="Times New Roman" w:hAnsi="Times New Roman"/>
          <w:sz w:val="24"/>
          <w:szCs w:val="24"/>
          <w:lang w:val="pt-BR" w:bidi="ar-SA"/>
        </w:rPr>
        <w:t>Segurança e defesa no Cone Sul: transições com transformações? ”</w:t>
      </w:r>
      <w:r>
        <w:rPr>
          <w:rFonts w:cs="Times New Roman" w:ascii="Times New Roman" w:hAnsi="Times New Roman"/>
          <w:b/>
          <w:sz w:val="24"/>
          <w:szCs w:val="24"/>
          <w:lang w:val="pt-BR" w:bidi="ar-SA"/>
        </w:rPr>
        <w:t xml:space="preserve"> </w:t>
      </w:r>
      <w:r>
        <w:rPr>
          <w:rFonts w:cs="Times New Roman" w:ascii="Times New Roman" w:hAnsi="Times New Roman"/>
          <w:sz w:val="24"/>
          <w:szCs w:val="24"/>
          <w:lang w:val="pt-BR" w:bidi="ar-SA"/>
        </w:rPr>
        <w:t>Estudos Ibero-Americanos, v. 34, n. 1, p. 160-180.</w:t>
      </w:r>
    </w:p>
    <w:p>
      <w:pPr>
        <w:pStyle w:val="Corpodotexto"/>
        <w:spacing w:lineRule="auto" w:line="240"/>
        <w:rPr>
          <w:rFonts w:cs="Times New Roman" w:ascii="Times New Roman" w:hAnsi="Times New Roman"/>
          <w:sz w:val="24"/>
          <w:szCs w:val="24"/>
          <w:lang w:val="pt-BR" w:bidi="ar-SA"/>
        </w:rPr>
      </w:pPr>
      <w:r>
        <w:rPr>
          <w:rFonts w:cs="Times New Roman" w:ascii="Times New Roman" w:hAnsi="Times New Roman"/>
          <w:sz w:val="24"/>
          <w:szCs w:val="24"/>
          <w:lang w:val="pt-BR" w:bidi="ar-SA"/>
        </w:rPr>
      </w:r>
    </w:p>
    <w:p>
      <w:pPr>
        <w:pStyle w:val="Corpodotexto"/>
        <w:spacing w:lineRule="auto" w:line="240" w:before="0" w:after="0"/>
        <w:jc w:val="both"/>
        <w:rPr>
          <w:rFonts w:cs="Times New Roman" w:ascii="Times New Roman" w:hAnsi="Times New Roman"/>
          <w:sz w:val="24"/>
          <w:szCs w:val="24"/>
          <w:lang w:val="pt-BR" w:bidi="ar-SA"/>
        </w:rPr>
      </w:pPr>
      <w:r>
        <w:rPr>
          <w:rFonts w:cs="Times New Roman" w:ascii="Times New Roman" w:hAnsi="Times New Roman"/>
          <w:sz w:val="24"/>
          <w:szCs w:val="24"/>
          <w:lang w:val="pt-BR" w:bidi="ar-SA"/>
        </w:rPr>
        <w:t xml:space="preserve">SOARES, Samuel e MATHIAS, Suzeley. (2002), </w:t>
      </w:r>
      <w:r>
        <w:rPr>
          <w:rFonts w:eastAsia="Times New Roman" w:cs="Times New Roman" w:ascii="Times New Roman" w:hAnsi="Times New Roman"/>
          <w:i/>
          <w:sz w:val="24"/>
          <w:szCs w:val="24"/>
          <w:lang w:val="pt-BR" w:bidi="ar-SA"/>
        </w:rPr>
        <w:t>Forças armadas, orçamento e autonomia militar</w:t>
      </w:r>
      <w:r>
        <w:rPr>
          <w:rFonts w:cs="Times New Roman" w:ascii="Times New Roman" w:hAnsi="Times New Roman"/>
          <w:sz w:val="24"/>
          <w:szCs w:val="24"/>
          <w:lang w:val="pt-BR" w:bidi="ar-SA"/>
        </w:rPr>
        <w:t>. São Paulo, Perspectivas.</w:t>
      </w:r>
    </w:p>
    <w:p>
      <w:pPr>
        <w:pStyle w:val="Corpodotexto"/>
        <w:spacing w:lineRule="auto" w:line="240"/>
        <w:rPr>
          <w:rFonts w:cs="Times New Roman" w:ascii="Times New Roman" w:hAnsi="Times New Roman"/>
          <w:sz w:val="24"/>
          <w:szCs w:val="24"/>
          <w:lang w:val="pt-BR" w:bidi="ar-SA"/>
        </w:rPr>
      </w:pPr>
      <w:r>
        <w:rPr>
          <w:rFonts w:cs="Times New Roman" w:ascii="Times New Roman" w:hAnsi="Times New Roman"/>
          <w:sz w:val="24"/>
          <w:szCs w:val="24"/>
          <w:lang w:val="pt-BR" w:bidi="ar-SA"/>
        </w:rPr>
      </w:r>
    </w:p>
    <w:p>
      <w:pPr>
        <w:pStyle w:val="Corpodotexto"/>
        <w:spacing w:lineRule="auto" w:line="240" w:before="0" w:after="0"/>
        <w:jc w:val="both"/>
        <w:rPr>
          <w:rFonts w:cs="Times New Roman" w:ascii="Times New Roman" w:hAnsi="Times New Roman"/>
          <w:sz w:val="24"/>
          <w:szCs w:val="24"/>
          <w:lang w:val="pt-BR" w:bidi="ar-SA"/>
        </w:rPr>
      </w:pPr>
      <w:r>
        <w:rPr>
          <w:rFonts w:cs="Times New Roman" w:ascii="Times New Roman" w:hAnsi="Times New Roman"/>
          <w:sz w:val="24"/>
          <w:szCs w:val="24"/>
          <w:lang w:val="pt-BR" w:bidi="ar-SA"/>
        </w:rPr>
        <w:t xml:space="preserve">VIGEVANI, Tullo e CEPALUNI, Gabriel. (2007), “A política externa de Lula da Silva: a estratégia da autonomia pela diversificação. ” </w:t>
      </w:r>
      <w:r>
        <w:rPr>
          <w:rFonts w:eastAsia="Times New Roman" w:cs="Times New Roman" w:ascii="Times New Roman" w:hAnsi="Times New Roman"/>
          <w:sz w:val="24"/>
          <w:szCs w:val="24"/>
          <w:lang w:val="pt-BR" w:bidi="ar-SA"/>
        </w:rPr>
        <w:t>Contexto internacional</w:t>
      </w:r>
      <w:r>
        <w:rPr>
          <w:rFonts w:cs="Times New Roman" w:ascii="Times New Roman" w:hAnsi="Times New Roman"/>
          <w:b/>
          <w:sz w:val="24"/>
          <w:szCs w:val="24"/>
          <w:lang w:val="pt-BR" w:bidi="ar-SA"/>
        </w:rPr>
        <w:t>,</w:t>
      </w:r>
      <w:r>
        <w:rPr>
          <w:rFonts w:cs="Times New Roman" w:ascii="Times New Roman" w:hAnsi="Times New Roman"/>
          <w:sz w:val="24"/>
          <w:szCs w:val="24"/>
          <w:lang w:val="pt-BR" w:bidi="ar-SA"/>
        </w:rPr>
        <w:t xml:space="preserve"> vol.29, n.2, pp. 273-335.</w:t>
      </w:r>
    </w:p>
    <w:p>
      <w:pPr>
        <w:pStyle w:val="Corpodotexto"/>
        <w:spacing w:lineRule="auto" w:line="240"/>
        <w:rPr>
          <w:rFonts w:cs="Times New Roman" w:ascii="Times New Roman" w:hAnsi="Times New Roman"/>
          <w:sz w:val="24"/>
          <w:szCs w:val="24"/>
          <w:lang w:val="pt-BR" w:bidi="ar-SA"/>
        </w:rPr>
      </w:pPr>
      <w:r>
        <w:rPr>
          <w:rFonts w:cs="Times New Roman" w:ascii="Times New Roman" w:hAnsi="Times New Roman"/>
          <w:sz w:val="24"/>
          <w:szCs w:val="24"/>
          <w:lang w:val="pt-BR" w:bidi="ar-SA"/>
        </w:rPr>
      </w:r>
    </w:p>
    <w:p>
      <w:pPr>
        <w:pStyle w:val="Corpodotexto"/>
        <w:spacing w:lineRule="auto" w:line="240" w:before="0" w:after="0"/>
        <w:jc w:val="both"/>
        <w:rPr>
          <w:rFonts w:cs="Times New Roman" w:ascii="Times New Roman" w:hAnsi="Times New Roman"/>
          <w:sz w:val="24"/>
          <w:szCs w:val="24"/>
          <w:lang w:val="pt-BR" w:bidi="ar-SA"/>
        </w:rPr>
      </w:pPr>
      <w:r>
        <w:rPr>
          <w:rFonts w:cs="Times New Roman" w:ascii="Times New Roman" w:hAnsi="Times New Roman"/>
          <w:sz w:val="24"/>
          <w:szCs w:val="24"/>
          <w:lang w:val="pt-BR" w:bidi="ar-SA"/>
        </w:rPr>
        <w:t xml:space="preserve">VIGEVANI, Tullo, OLIVEIRA, Marcelo e CINTRA, Rodrigo. (2003), “Política Externa no período FHC: a Busca de Autonomia pela Integração. ” </w:t>
      </w:r>
      <w:r>
        <w:rPr>
          <w:rFonts w:eastAsia="Times New Roman" w:cs="Times New Roman" w:ascii="Times New Roman" w:hAnsi="Times New Roman"/>
          <w:sz w:val="24"/>
          <w:szCs w:val="24"/>
          <w:lang w:val="pt-BR" w:bidi="ar-SA"/>
        </w:rPr>
        <w:t>Tempo Social</w:t>
      </w:r>
      <w:r>
        <w:rPr>
          <w:rFonts w:cs="Times New Roman" w:ascii="Times New Roman" w:hAnsi="Times New Roman"/>
          <w:sz w:val="24"/>
          <w:szCs w:val="24"/>
          <w:lang w:val="pt-BR" w:bidi="ar-SA"/>
        </w:rPr>
        <w:t>, vol. 15, no. 2, pp 31-61.</w:t>
      </w:r>
    </w:p>
    <w:p>
      <w:pPr>
        <w:pStyle w:val="Corpodotexto"/>
        <w:spacing w:lineRule="auto" w:line="240"/>
        <w:rPr>
          <w:rFonts w:cs="Times New Roman" w:ascii="Times New Roman" w:hAnsi="Times New Roman"/>
          <w:sz w:val="24"/>
          <w:szCs w:val="24"/>
          <w:lang w:val="pt-BR" w:bidi="ar-SA"/>
        </w:rPr>
      </w:pPr>
      <w:r>
        <w:rPr>
          <w:rFonts w:cs="Times New Roman" w:ascii="Times New Roman" w:hAnsi="Times New Roman"/>
          <w:sz w:val="24"/>
          <w:szCs w:val="24"/>
          <w:lang w:val="pt-BR" w:bidi="ar-SA"/>
        </w:rPr>
      </w:r>
    </w:p>
    <w:p>
      <w:pPr>
        <w:pStyle w:val="Corpodotexto"/>
        <w:spacing w:lineRule="auto" w:line="240" w:before="0" w:after="0"/>
        <w:jc w:val="both"/>
        <w:rPr>
          <w:rFonts w:cs="Times New Roman" w:ascii="Times New Roman" w:hAnsi="Times New Roman"/>
          <w:sz w:val="24"/>
          <w:szCs w:val="24"/>
          <w:lang w:val="pt-BR" w:bidi="ar-SA"/>
        </w:rPr>
      </w:pPr>
      <w:r>
        <w:rPr>
          <w:rFonts w:cs="Times New Roman" w:ascii="Times New Roman" w:hAnsi="Times New Roman"/>
          <w:sz w:val="24"/>
          <w:szCs w:val="24"/>
          <w:lang w:val="pt-BR" w:bidi="ar-SA"/>
        </w:rPr>
        <w:t xml:space="preserve">VIZENTINI, Paulo Fagundes. (2005), “De FHC a Lula: Uma Década de Política Externa (1995-2005)”. </w:t>
      </w:r>
      <w:r>
        <w:rPr>
          <w:rFonts w:eastAsia="Times New Roman" w:cs="Times New Roman" w:ascii="Times New Roman" w:hAnsi="Times New Roman"/>
          <w:sz w:val="24"/>
          <w:szCs w:val="24"/>
          <w:lang w:val="pt-BR" w:bidi="ar-SA"/>
        </w:rPr>
        <w:t>Civitas</w:t>
      </w:r>
      <w:r>
        <w:rPr>
          <w:rFonts w:cs="Times New Roman" w:ascii="Times New Roman" w:hAnsi="Times New Roman"/>
          <w:sz w:val="24"/>
          <w:szCs w:val="24"/>
          <w:lang w:val="pt-BR" w:bidi="ar-SA"/>
        </w:rPr>
        <w:t>, vol. 5, no. 2, pp. 381-397.</w:t>
      </w:r>
    </w:p>
    <w:p>
      <w:pPr>
        <w:pStyle w:val="Corpodotexto"/>
        <w:spacing w:lineRule="auto" w:line="240"/>
        <w:rPr>
          <w:rFonts w:cs="Times New Roman" w:ascii="Times New Roman" w:hAnsi="Times New Roman"/>
          <w:sz w:val="24"/>
          <w:szCs w:val="24"/>
          <w:lang w:val="pt-BR" w:bidi="ar-SA"/>
        </w:rPr>
      </w:pPr>
      <w:r>
        <w:rPr>
          <w:rFonts w:cs="Times New Roman" w:ascii="Times New Roman" w:hAnsi="Times New Roman"/>
          <w:sz w:val="24"/>
          <w:szCs w:val="24"/>
          <w:lang w:val="pt-BR" w:bidi="ar-SA"/>
        </w:rPr>
      </w:r>
    </w:p>
    <w:p>
      <w:pPr>
        <w:pStyle w:val="Corpodotexto"/>
        <w:spacing w:lineRule="auto" w:line="240" w:before="0" w:after="0"/>
        <w:jc w:val="both"/>
        <w:rPr>
          <w:rFonts w:eastAsia="Times New Roman" w:cs="Times New Roman" w:ascii="Times New Roman" w:hAnsi="Times New Roman"/>
          <w:sz w:val="24"/>
          <w:szCs w:val="24"/>
          <w:lang w:bidi="ar-SA"/>
        </w:rPr>
      </w:pPr>
      <w:r>
        <w:rPr>
          <w:rFonts w:eastAsia="Times New Roman" w:cs="Times New Roman" w:ascii="Times New Roman" w:hAnsi="Times New Roman"/>
          <w:sz w:val="24"/>
          <w:szCs w:val="24"/>
          <w:lang w:val="pt-BR" w:bidi="ar-SA"/>
        </w:rPr>
        <w:t xml:space="preserve">WINAND, Érica e SAINT-PIERRE, Héctor Luis. (2010), “A fragilidade da condução política da defesa no Brasil.” </w:t>
      </w:r>
      <w:r>
        <w:rPr>
          <w:rFonts w:eastAsia="Times New Roman" w:cs="Times New Roman" w:ascii="Times New Roman" w:hAnsi="Times New Roman"/>
          <w:sz w:val="24"/>
          <w:szCs w:val="24"/>
          <w:lang w:bidi="ar-SA"/>
        </w:rPr>
        <w:t>História, v. 29, n. 2, p. 3-29.</w:t>
      </w:r>
    </w:p>
    <w:sectPr>
      <w:headerReference w:type="default" r:id="rId4"/>
      <w:footerReference w:type="default" r:id="rId5"/>
      <w:footnotePr>
        <w:numFmt w:val="decimal"/>
      </w:footnotePr>
      <w:type w:val="nextPage"/>
      <w:pgSz w:w="11906" w:h="16838"/>
      <w:pgMar w:left="1701" w:right="1417" w:header="1701" w:top="2694" w:footer="720" w:bottom="1417" w:gutter="0"/>
      <w:pgNumType w:fmt="decimal"/>
      <w:formProt w:val="false"/>
      <w:textDirection w:val="lrTb"/>
      <w:docGrid w:type="default" w:linePitch="240" w:charSpace="4294965247"/>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comment w:id="0" w:author="Author" w:date="0-00-00T00:00:00Z" w:initials="A">
    <w:p>
      <w:r>
        <w:rPr/>
        <w:t>Não sei pq o corretor destacou essa palavra.</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Trebuchet MS">
    <w:charset w:val="01"/>
    <w:family w:val="roman"/>
    <w:pitch w:val="variable"/>
  </w:font>
  <w:font w:name="Segoe UI">
    <w:charset w:val="01"/>
    <w:family w:val="roman"/>
    <w:pitch w:val="variable"/>
  </w:font>
  <w:font w:name="Liberation Sans">
    <w:altName w:val="Arial"/>
    <w:charset w:val="01"/>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Rodap"/>
      <w:rPr/>
    </w:pPr>
    <w:r>
      <w:rPr/>
    </w:r>
  </w:p>
</w:ftr>
</file>

<file path=word/footnotes.xml><?xml version="1.0" encoding="utf-8"?>
<w:footnotes xmlns:w="http://schemas.openxmlformats.org/wordprocessingml/2006/main" xmlns:r="http://schemas.openxmlformats.org/officeDocument/2006/relationships">
  <w:footnote w:id="0" w:type="separator">
    <w:p>
      <w:r>
        <w:separator/>
      </w:r>
    </w:p>
  </w:footnote>
  <w:footnote w:id="1" w:type="continuationSeparator">
    <w:p>
      <w:r>
        <w:continuationSeparator/>
      </w:r>
    </w:p>
  </w:footnote>
  <w:footnote w:id="2">
    <w:p>
      <w:pPr>
        <w:pStyle w:val="Notaderodap"/>
        <w:rPr>
          <w:rFonts w:eastAsia="Arial" w:ascii="Times New Roman" w:hAnsi="Times New Roman"/>
          <w:lang w:val="pt-BR"/>
        </w:rPr>
      </w:pPr>
      <w:r>
        <w:rPr>
          <w:rStyle w:val="Footnotereference"/>
        </w:rPr>
        <w:footnoteRef/>
        <w:tab/>
      </w:r>
      <w:r>
        <w:rPr>
          <w:rFonts w:eastAsia="Arial" w:ascii="Times New Roman" w:hAnsi="Times New Roman"/>
          <w:lang w:val="pt-BR"/>
        </w:rPr>
        <w:t xml:space="preserve"> </w:t>
      </w:r>
      <w:r>
        <w:rPr>
          <w:rFonts w:eastAsia="Arial" w:ascii="Times New Roman" w:hAnsi="Times New Roman"/>
          <w:lang w:val="pt-BR"/>
        </w:rPr>
        <w:t>Ver mais em CORTES, Octavio Henrique. A política externa do governo Sarney: o inicio de reformulação de diretrizes para a inserção internacional do Brasil sob o signo da democracia. Brasília: Funag, 2010, Capítulo II.</w:t>
      </w:r>
    </w:p>
  </w:footnote>
  <w:footnote w:id="3">
    <w:p>
      <w:pPr>
        <w:pStyle w:val="Notaderodap"/>
        <w:rPr>
          <w:rFonts w:cs="Times New Roman" w:ascii="Times New Roman" w:hAnsi="Times New Roman"/>
          <w:lang w:val="pt-BR"/>
        </w:rPr>
      </w:pPr>
      <w:r>
        <w:rPr>
          <w:rStyle w:val="Footnotereference"/>
          <w:rFonts w:cs="Times New Roman" w:ascii="Times New Roman" w:hAnsi="Times New Roman"/>
        </w:rPr>
        <w:footnoteRef/>
        <w:tab/>
      </w:r>
      <w:r>
        <w:rPr>
          <w:rFonts w:cs="Times New Roman" w:ascii="Times New Roman" w:hAnsi="Times New Roman"/>
        </w:rPr>
        <w:t xml:space="preserve"> </w:t>
      </w:r>
      <w:r>
        <w:rPr>
          <w:rFonts w:cs="Times New Roman" w:ascii="Times New Roman" w:hAnsi="Times New Roman"/>
          <w:lang w:val="pt-BR"/>
        </w:rPr>
        <w:t>Dissuasão defensiva pode ser definida como a tentativa de impedir o adversário de desencadear uma ação que ele pode e ameaça realizar, por meio da demonstração de que ele não conseguirá atingir seus objetivos devido à nossa intervenção (CORREA, 2010). A partir desse princípio, o Brasil tira a conotação agressiva do termo dissuasão e assume o emprego da força apenas em casos de defesa do território e do patrimônio nacionais, ou seja, apenas em ocasiões de autodefesa (CAVAGNARI FILHO, 2000).</w:t>
      </w:r>
    </w:p>
  </w:footnote>
  <w:footnote w:id="4">
    <w:p>
      <w:pPr>
        <w:pStyle w:val="Notaderodap"/>
        <w:rPr>
          <w:rFonts w:eastAsia="Times New Roman" w:cs="Times New Roman" w:ascii="Times New Roman" w:hAnsi="Times New Roman"/>
          <w:lang w:val="pt-BR"/>
        </w:rPr>
      </w:pPr>
      <w:r>
        <w:rPr>
          <w:rStyle w:val="Footnotereference"/>
        </w:rPr>
        <w:footnoteRef/>
        <w:tab/>
      </w:r>
      <w:r>
        <w:rPr>
          <w:rFonts w:eastAsia="Arial"/>
          <w:lang w:val="pt-BR"/>
        </w:rPr>
        <w:t xml:space="preserve"> </w:t>
      </w:r>
      <w:r>
        <w:rPr>
          <w:rFonts w:eastAsia="Times New Roman" w:cs="Times New Roman" w:ascii="Times New Roman" w:hAnsi="Times New Roman"/>
          <w:lang w:val="pt-BR"/>
        </w:rPr>
        <w:t>Winand e Saint-Pierre (2010) ressaltam também a importância da participação do Ministro da Defesa José Viegas Filho na elaboração do documento da PDN, que possui diversas das ideias proferidas pelo ministro antes da sua demissão.</w:t>
      </w:r>
    </w:p>
  </w:footnote>
  <w:footnote w:id="5">
    <w:p>
      <w:pPr>
        <w:pStyle w:val="Notaderodap"/>
        <w:rPr>
          <w:rFonts w:eastAsia="Times New Roman" w:cs="Times New Roman" w:ascii="Times New Roman" w:hAnsi="Times New Roman"/>
          <w:lang w:val="pt-BR"/>
        </w:rPr>
      </w:pPr>
      <w:r>
        <w:rPr>
          <w:rStyle w:val="Footnotereference"/>
        </w:rPr>
        <w:footnoteRef/>
        <w:tab/>
      </w:r>
      <w:r>
        <w:rPr>
          <w:rFonts w:eastAsia="Arial" w:cs="Times New Roman" w:ascii="Times New Roman" w:hAnsi="Times New Roman"/>
          <w:lang w:val="pt-BR"/>
        </w:rPr>
        <w:t xml:space="preserve"> </w:t>
      </w:r>
      <w:r>
        <w:rPr>
          <w:rFonts w:eastAsia="Times New Roman" w:cs="Times New Roman" w:ascii="Times New Roman" w:hAnsi="Times New Roman"/>
          <w:lang w:val="pt-BR"/>
        </w:rPr>
        <w:t>A Amazônia Azul corresponde ao mar e às plataformas territoriais brasileiras. Já a Amazônia Legal é a que localiza-se na floresta amazônica, em território brasileiro, na região Norte.</w:t>
      </w:r>
    </w:p>
  </w:footnote>
  <w:footnote w:id="6">
    <w:p>
      <w:pPr>
        <w:pStyle w:val="Notaderodap"/>
        <w:rPr>
          <w:rFonts w:eastAsia="Times New Roman" w:ascii="Times New Roman" w:hAnsi="Times New Roman"/>
          <w:lang w:val="pt-BR"/>
        </w:rPr>
      </w:pPr>
      <w:r>
        <w:rPr>
          <w:rStyle w:val="Footnotereference"/>
        </w:rPr>
        <w:footnoteRef/>
        <w:tab/>
      </w:r>
      <w:r>
        <w:rPr>
          <w:rFonts w:eastAsia="Arial"/>
          <w:lang w:val="pt-BR"/>
        </w:rPr>
        <w:t xml:space="preserve"> </w:t>
      </w:r>
      <w:r>
        <w:rPr>
          <w:rFonts w:eastAsia="Times New Roman" w:ascii="Times New Roman" w:hAnsi="Times New Roman"/>
          <w:lang w:val="pt-BR"/>
        </w:rPr>
        <w:t>O ponto de virada teria sido a crise do “apagão aéreo” - seguidos acidentes envolvendo aviões comerciais entre 2006 e 2007 - que teria precipitado a troca de ministro na pasta da defesa (OLIVEIRA, BRITES, MUNHOZ, 2012)</w:t>
      </w:r>
    </w:p>
  </w:footnote>
  <w:footnote w:id="7">
    <w:p>
      <w:pPr>
        <w:pStyle w:val="Notaderodap"/>
        <w:rPr>
          <w:rFonts w:eastAsia="Times New Roman" w:ascii="Times New Roman" w:hAnsi="Times New Roman"/>
          <w:lang w:val="pt-BR"/>
        </w:rPr>
      </w:pPr>
      <w:r>
        <w:rPr>
          <w:rStyle w:val="Footnotereference"/>
        </w:rPr>
        <w:footnoteRef/>
        <w:tab/>
      </w:r>
      <w:r>
        <w:rPr>
          <w:rFonts w:eastAsia="Arial"/>
          <w:lang w:val="pt-BR"/>
        </w:rPr>
        <w:t xml:space="preserve"> </w:t>
      </w:r>
      <w:r>
        <w:rPr>
          <w:rFonts w:eastAsia="Times New Roman" w:ascii="Times New Roman" w:hAnsi="Times New Roman"/>
          <w:lang w:val="pt-BR"/>
        </w:rPr>
        <w:t>O documento foi resultado dos atentados de 11 de setembro aos EUA e previa a cooperação entre Estados na luta contra o terrorismo. Segundo Guimarães (2012, p. 88), o documento também previa uma cooperação securitária entre países da América Latina e os EUA. Isso teria sido motivo para o Brasil tomar as rédeas do processo de criação de um Complexo Regional de Segurança.</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Normal"/>
      <w:spacing w:lineRule="auto" w:line="276"/>
      <w:jc w:val="right"/>
      <w:rPr>
        <w:rFonts w:eastAsia="Arial"/>
      </w:rPr>
    </w:pPr>
    <w:r>
      <w:rPr>
        <w:rFonts w:eastAsia="Arial"/>
      </w:rPr>
    </w:r>
  </w:p>
  <w:p>
    <w:pPr>
      <w:pStyle w:val="Normal"/>
      <w:spacing w:lineRule="auto" w:line="276"/>
      <w:jc w:val="right"/>
      <w:rPr/>
    </w:pPr>
    <w:r>
      <w:rPr/>
      <w:fldChar w:fldCharType="begin"/>
    </w:r>
    <w:r>
      <w:instrText> PAGE </w:instrText>
    </w:r>
    <w:r>
      <w:fldChar w:fldCharType="separate"/>
    </w:r>
    <w:r>
      <w:t>23</w:t>
    </w:r>
    <w:r>
      <w:fldChar w:fldCharType="end"/>
    </w:r>
  </w:p>
  <w:p>
    <w:pPr>
      <w:pStyle w:val="Normal"/>
      <w:spacing w:lineRule="auto" w:line="276"/>
      <w:jc w:val="right"/>
      <w:rPr>
        <w:rFonts w:eastAsia="Arial"/>
      </w:rPr>
    </w:pPr>
    <w:r>
      <w:rPr>
        <w:rFonts w:eastAsia="Arial"/>
      </w:rPr>
    </w:r>
  </w:p>
</w:hdr>
</file>

<file path=word/settings.xml><?xml version="1.0" encoding="utf-8"?>
<w:settings xmlns:w="http://schemas.openxmlformats.org/wordprocessingml/2006/main">
  <w:zoom w:percent="140"/>
  <w:defaultTabStop w:val="720"/>
  <w:footnotePr>
    <w:numFmt w:val="decimal"/>
    <w:footnote w:id="0"/>
    <w:footnote w:id="1"/>
  </w:footnotePr>
</w:settings>
</file>

<file path=word/styles.xml><?xml version="1.0" encoding="utf-8"?>
<w:styles xmlns:w="http://schemas.openxmlformats.org/wordprocessingml/2006/main">
  <w:docDefaults>
    <w:rPrDefault>
      <w:rPr>
        <w:rFonts w:ascii="Liberation Serif" w:hAnsi="Liberation Serif" w:eastAsia="Droid Sans Fallback" w:cs="FreeSans"/>
        <w:sz w:val="24"/>
        <w:szCs w:val="24"/>
        <w:lang w:val="pt-BR" w:eastAsia="zh-CN" w:bidi="hi-IN"/>
      </w:rPr>
    </w:rPrDefault>
    <w:pPrDefault>
      <w:pPr>
        <w:textAlignment w:val="baseline"/>
      </w:pPr>
    </w:pPrDefault>
  </w:docDefaults>
  <w:latentStyles w:count="276" w:defQFormat="0" w:defUnhideWhenUsed="1" w:defSemiHidden="1" w:defUIPriority="99" w:defLockedState="0">
    <w:lsdException w:qFormat="1" w:semiHidden="0" w:uiPriority="0" w:unhideWhenUsed="0" w:name="Normal"/>
    <w:lsdException w:qFormat="1" w:semiHidden="0" w:uiPriority="9" w:unhideWhenUsed="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semiHidden="0" w:uiPriority="10" w:unhideWhenUsed="0" w:name="Title"/>
    <w:lsdException w:uiPriority="1" w:name="Default Paragraph Font"/>
    <w:lsdException w:qFormat="1" w:semiHidden="0" w:uiPriority="11" w:unhideWhenUsed="0" w:name="Subtitle"/>
    <w:lsdException w:qFormat="1" w:semiHidden="0" w:uiPriority="22" w:unhideWhenUsed="0" w:name="Strong"/>
    <w:lsdException w:qFormat="1" w:semiHidden="0" w:uiPriority="20" w:unhideWhenUsed="0" w:name="Emphasis"/>
    <w:lsdException w:semiHidden="0" w:uiPriority="39" w:unhideWhenUsed="0" w:name="Table Grid"/>
    <w:lsdException w:semiHidden="0" w:unhideWhenUsed="0" w:name="Note Level 1"/>
    <w:lsdException w:semiHidden="0" w:unhideWhenUsed="0" w:name="Note Level 2"/>
    <w:lsdException w:semiHidden="0" w:unhideWhenUsed="0" w:name="Note Level 3"/>
    <w:lsdException w:semiHidden="0" w:unhideWhenUsed="0" w:name="Note Level 4"/>
    <w:lsdException w:semiHidden="0" w:unhideWhenUsed="0" w:name="Note Level 5"/>
    <w:lsdException w:semiHidden="0" w:unhideWhenUsed="0" w:name="Note Level 6"/>
    <w:lsdException w:semiHidden="0" w:unhideWhenUsed="0" w:name="Note Level 7"/>
    <w:lsdException w:semiHidden="0" w:unhideWhenUsed="0" w:name="Note Level 8"/>
    <w:lsdException w:semiHidden="0" w:unhideWhenUsed="0" w:name="Note Level 9"/>
    <w:lsdException w:unhideWhenUsed="0" w:name="Placeholder Text"/>
    <w:lsdException w:qFormat="1" w:semiHidden="0" w:uiPriority="1" w:unhideWhenUsed="0" w:name="No Spacing"/>
    <w:lsdException w:semiHidden="0" w:uiPriority="60" w:unhideWhenUsed="0" w:name="Light Shading"/>
    <w:lsdException w:semiHidden="0" w:uiPriority="61" w:unhideWhenUsed="0" w:name="Light List"/>
    <w:lsdException w:semiHidden="0" w:uiPriority="62" w:unhideWhenUsed="0" w:name="Light Grid"/>
    <w:lsdException w:semiHidden="0" w:uiPriority="63" w:unhideWhenUsed="0" w:name="Medium Shading 1"/>
    <w:lsdException w:semiHidden="0" w:uiPriority="64" w:unhideWhenUsed="0" w:name="Medium Shading 2"/>
    <w:lsdException w:semiHidden="0" w:uiPriority="65" w:unhideWhenUsed="0" w:name="Medium List 1"/>
    <w:lsdException w:semiHidden="0" w:uiPriority="66" w:unhideWhenUsed="0" w:name="Medium List 2"/>
    <w:lsdException w:semiHidden="0" w:uiPriority="67" w:unhideWhenUsed="0" w:name="Medium Grid 1"/>
    <w:lsdException w:semiHidden="0" w:uiPriority="68" w:unhideWhenUsed="0" w:name="Medium Grid 2"/>
    <w:lsdException w:semiHidden="0" w:uiPriority="69" w:unhideWhenUsed="0" w:name="Medium Grid 3"/>
    <w:lsdException w:semiHidden="0" w:uiPriority="70" w:unhideWhenUsed="0" w:name="Dark List"/>
    <w:lsdException w:semiHidden="0" w:uiPriority="71" w:unhideWhenUsed="0" w:name="Colorful Shading"/>
    <w:lsdException w:semiHidden="0" w:uiPriority="72" w:unhideWhenUsed="0" w:name="Colorful List"/>
    <w:lsdException w:semiHidden="0" w:uiPriority="73" w:unhideWhenUsed="0" w:name="Colorful Grid"/>
    <w:lsdException w:semiHidden="0" w:uiPriority="60" w:unhideWhenUsed="0" w:name="Light Shading Accent 1"/>
    <w:lsdException w:semiHidden="0" w:uiPriority="61" w:unhideWhenUsed="0" w:name="Light List Accent 1"/>
    <w:lsdException w:semiHidden="0" w:uiPriority="62" w:unhideWhenUsed="0" w:name="Light Grid Accent 1"/>
    <w:lsdException w:semiHidden="0" w:uiPriority="63" w:unhideWhenUsed="0" w:name="Medium Shading 1 Accent 1"/>
    <w:lsdException w:semiHidden="0" w:uiPriority="64" w:unhideWhenUsed="0" w:name="Medium Shading 2 Accent 1"/>
    <w:lsdException w:semiHidden="0" w:uiPriority="65" w:unhideWhenUsed="0" w:name="Medium List 1 Accent 1"/>
    <w:lsdException w:unhideWhenUsed="0" w:name="Revision"/>
    <w:lsdException w:qFormat="1" w:semiHidden="0" w:uiPriority="34" w:unhideWhenUsed="0" w:name="List Paragraph"/>
    <w:lsdException w:qFormat="1" w:semiHidden="0" w:uiPriority="29" w:unhideWhenUsed="0" w:name="Quote"/>
    <w:lsdException w:qFormat="1" w:semiHidden="0" w:uiPriority="30" w:unhideWhenUsed="0" w:name="Intense Quote"/>
    <w:lsdException w:semiHidden="0" w:uiPriority="66" w:unhideWhenUsed="0" w:name="Medium List 2 Accent 1"/>
    <w:lsdException w:semiHidden="0" w:uiPriority="67" w:unhideWhenUsed="0" w:name="Medium Grid 1 Accent 1"/>
    <w:lsdException w:semiHidden="0" w:uiPriority="68" w:unhideWhenUsed="0" w:name="Medium Grid 2 Accent 1"/>
    <w:lsdException w:semiHidden="0" w:uiPriority="69" w:unhideWhenUsed="0" w:name="Medium Grid 3 Accent 1"/>
    <w:lsdException w:semiHidden="0" w:uiPriority="70" w:unhideWhenUsed="0" w:name="Dark List Accent 1"/>
    <w:lsdException w:semiHidden="0" w:uiPriority="71" w:unhideWhenUsed="0" w:name="Colorful Shading Accent 1"/>
    <w:lsdException w:semiHidden="0" w:uiPriority="72" w:unhideWhenUsed="0" w:name="Colorful List Accent 1"/>
    <w:lsdException w:semiHidden="0" w:uiPriority="73" w:unhideWhenUsed="0" w:name="Colorful Grid Accent 1"/>
    <w:lsdException w:semiHidden="0" w:uiPriority="60" w:unhideWhenUsed="0" w:name="Light Shading Accent 2"/>
    <w:lsdException w:semiHidden="0" w:uiPriority="61" w:unhideWhenUsed="0" w:name="Light List Accent 2"/>
    <w:lsdException w:semiHidden="0" w:uiPriority="62" w:unhideWhenUsed="0" w:name="Light Grid Accent 2"/>
    <w:lsdException w:semiHidden="0" w:uiPriority="63" w:unhideWhenUsed="0" w:name="Medium Shading 1 Accent 2"/>
    <w:lsdException w:semiHidden="0" w:uiPriority="64" w:unhideWhenUsed="0" w:name="Medium Shading 2 Accent 2"/>
    <w:lsdException w:semiHidden="0" w:uiPriority="65" w:unhideWhenUsed="0" w:name="Medium List 1 Accent 2"/>
    <w:lsdException w:semiHidden="0" w:uiPriority="66" w:unhideWhenUsed="0" w:name="Medium List 2 Accent 2"/>
    <w:lsdException w:semiHidden="0" w:uiPriority="67" w:unhideWhenUsed="0" w:name="Medium Grid 1 Accent 2"/>
    <w:lsdException w:semiHidden="0" w:uiPriority="68" w:unhideWhenUsed="0" w:name="Medium Grid 2 Accent 2"/>
    <w:lsdException w:semiHidden="0" w:uiPriority="69" w:unhideWhenUsed="0" w:name="Medium Grid 3 Accent 2"/>
    <w:lsdException w:semiHidden="0" w:uiPriority="70" w:unhideWhenUsed="0" w:name="Dark List Accent 2"/>
    <w:lsdException w:semiHidden="0" w:uiPriority="71" w:unhideWhenUsed="0" w:name="Colorful Shading Accent 2"/>
    <w:lsdException w:semiHidden="0" w:uiPriority="72" w:unhideWhenUsed="0" w:name="Colorful List Accent 2"/>
    <w:lsdException w:semiHidden="0" w:uiPriority="73" w:unhideWhenUsed="0" w:name="Colorful Grid Accent 2"/>
    <w:lsdException w:semiHidden="0" w:uiPriority="60" w:unhideWhenUsed="0" w:name="Light Shading Accent 3"/>
    <w:lsdException w:semiHidden="0" w:uiPriority="61" w:unhideWhenUsed="0" w:name="Light List Accent 3"/>
    <w:lsdException w:semiHidden="0" w:uiPriority="62" w:unhideWhenUsed="0" w:name="Light Grid Accent 3"/>
    <w:lsdException w:semiHidden="0" w:uiPriority="63" w:unhideWhenUsed="0" w:name="Medium Shading 1 Accent 3"/>
    <w:lsdException w:semiHidden="0" w:uiPriority="64" w:unhideWhenUsed="0" w:name="Medium Shading 2 Accent 3"/>
    <w:lsdException w:semiHidden="0" w:uiPriority="65" w:unhideWhenUsed="0" w:name="Medium List 1 Accent 3"/>
    <w:lsdException w:semiHidden="0" w:uiPriority="66" w:unhideWhenUsed="0" w:name="Medium List 2 Accent 3"/>
    <w:lsdException w:semiHidden="0" w:uiPriority="67" w:unhideWhenUsed="0" w:name="Medium Grid 1 Accent 3"/>
    <w:lsdException w:semiHidden="0" w:uiPriority="68" w:unhideWhenUsed="0" w:name="Medium Grid 2 Accent 3"/>
    <w:lsdException w:semiHidden="0" w:uiPriority="69" w:unhideWhenUsed="0" w:name="Medium Grid 3 Accent 3"/>
    <w:lsdException w:semiHidden="0" w:uiPriority="70" w:unhideWhenUsed="0" w:name="Dark List Accent 3"/>
    <w:lsdException w:semiHidden="0" w:uiPriority="71" w:unhideWhenUsed="0" w:name="Colorful Shading Accent 3"/>
    <w:lsdException w:semiHidden="0" w:uiPriority="72" w:unhideWhenUsed="0" w:name="Colorful List Accent 3"/>
    <w:lsdException w:semiHidden="0" w:uiPriority="73" w:unhideWhenUsed="0" w:name="Colorful Grid Accent 3"/>
    <w:lsdException w:semiHidden="0" w:uiPriority="60" w:unhideWhenUsed="0" w:name="Light Shading Accent 4"/>
    <w:lsdException w:semiHidden="0" w:uiPriority="61" w:unhideWhenUsed="0" w:name="Light List Accent 4"/>
    <w:lsdException w:semiHidden="0" w:uiPriority="62" w:unhideWhenUsed="0" w:name="Light Grid Accent 4"/>
    <w:lsdException w:semiHidden="0" w:uiPriority="63" w:unhideWhenUsed="0" w:name="Medium Shading 1 Accent 4"/>
    <w:lsdException w:semiHidden="0" w:uiPriority="64" w:unhideWhenUsed="0" w:name="Medium Shading 2 Accent 4"/>
    <w:lsdException w:semiHidden="0" w:uiPriority="65" w:unhideWhenUsed="0" w:name="Medium List 1 Accent 4"/>
    <w:lsdException w:semiHidden="0" w:uiPriority="66" w:unhideWhenUsed="0" w:name="Medium List 2 Accent 4"/>
    <w:lsdException w:semiHidden="0" w:uiPriority="67" w:unhideWhenUsed="0" w:name="Medium Grid 1 Accent 4"/>
    <w:lsdException w:semiHidden="0" w:uiPriority="68" w:unhideWhenUsed="0" w:name="Medium Grid 2 Accent 4"/>
    <w:lsdException w:semiHidden="0" w:uiPriority="69" w:unhideWhenUsed="0" w:name="Medium Grid 3 Accent 4"/>
    <w:lsdException w:semiHidden="0" w:uiPriority="70" w:unhideWhenUsed="0" w:name="Dark List Accent 4"/>
    <w:lsdException w:semiHidden="0" w:uiPriority="71" w:unhideWhenUsed="0" w:name="Colorful Shading Accent 4"/>
    <w:lsdException w:semiHidden="0" w:uiPriority="72" w:unhideWhenUsed="0" w:name="Colorful List Accent 4"/>
    <w:lsdException w:semiHidden="0" w:uiPriority="73" w:unhideWhenUsed="0" w:name="Colorful Grid Accent 4"/>
    <w:lsdException w:semiHidden="0" w:uiPriority="60" w:unhideWhenUsed="0" w:name="Light Shading Accent 5"/>
    <w:lsdException w:semiHidden="0" w:uiPriority="61" w:unhideWhenUsed="0" w:name="Light List Accent 5"/>
    <w:lsdException w:semiHidden="0" w:uiPriority="62" w:unhideWhenUsed="0" w:name="Light Grid Accent 5"/>
    <w:lsdException w:semiHidden="0" w:uiPriority="63" w:unhideWhenUsed="0" w:name="Medium Shading 1 Accent 5"/>
    <w:lsdException w:semiHidden="0" w:uiPriority="64" w:unhideWhenUsed="0" w:name="Medium Shading 2 Accent 5"/>
    <w:lsdException w:semiHidden="0" w:uiPriority="65" w:unhideWhenUsed="0" w:name="Medium List 1 Accent 5"/>
    <w:lsdException w:semiHidden="0" w:uiPriority="66" w:unhideWhenUsed="0" w:name="Medium List 2 Accent 5"/>
    <w:lsdException w:semiHidden="0" w:uiPriority="67" w:unhideWhenUsed="0" w:name="Medium Grid 1 Accent 5"/>
    <w:lsdException w:semiHidden="0" w:uiPriority="68" w:unhideWhenUsed="0" w:name="Medium Grid 2 Accent 5"/>
    <w:lsdException w:semiHidden="0" w:uiPriority="69" w:unhideWhenUsed="0" w:name="Medium Grid 3 Accent 5"/>
    <w:lsdException w:semiHidden="0" w:uiPriority="70" w:unhideWhenUsed="0" w:name="Dark List Accent 5"/>
    <w:lsdException w:semiHidden="0" w:uiPriority="71" w:unhideWhenUsed="0" w:name="Colorful Shading Accent 5"/>
    <w:lsdException w:semiHidden="0" w:uiPriority="72" w:unhideWhenUsed="0" w:name="Colorful List Accent 5"/>
    <w:lsdException w:semiHidden="0" w:uiPriority="73" w:unhideWhenUsed="0" w:name="Colorful Grid Accent 5"/>
    <w:lsdException w:semiHidden="0" w:uiPriority="60" w:unhideWhenUsed="0" w:name="Light Shading Accent 6"/>
    <w:lsdException w:semiHidden="0" w:uiPriority="61" w:unhideWhenUsed="0" w:name="Light List Accent 6"/>
    <w:lsdException w:semiHidden="0" w:uiPriority="62" w:unhideWhenUsed="0" w:name="Light Grid Accent 6"/>
    <w:lsdException w:semiHidden="0" w:uiPriority="63" w:unhideWhenUsed="0" w:name="Medium Shading 1 Accent 6"/>
    <w:lsdException w:semiHidden="0" w:uiPriority="64" w:unhideWhenUsed="0" w:name="Medium Shading 2 Accent 6"/>
    <w:lsdException w:semiHidden="0" w:uiPriority="65" w:unhideWhenUsed="0" w:name="Medium List 1 Accent 6"/>
    <w:lsdException w:semiHidden="0" w:uiPriority="66" w:unhideWhenUsed="0" w:name="Medium List 2 Accent 6"/>
    <w:lsdException w:semiHidden="0" w:uiPriority="67" w:unhideWhenUsed="0" w:name="Medium Grid 1 Accent 6"/>
    <w:lsdException w:semiHidden="0" w:uiPriority="68" w:unhideWhenUsed="0" w:name="Medium Grid 2 Accent 6"/>
    <w:lsdException w:semiHidden="0" w:uiPriority="69" w:unhideWhenUsed="0" w:name="Medium Grid 3 Accent 6"/>
    <w:lsdException w:semiHidden="0" w:uiPriority="70" w:unhideWhenUsed="0" w:name="Dark List Accent 6"/>
    <w:lsdException w:semiHidden="0" w:uiPriority="71" w:unhideWhenUsed="0" w:name="Colorful Shading Accent 6"/>
    <w:lsdException w:semiHidden="0" w:uiPriority="72" w:unhideWhenUsed="0" w:name="Colorful List Accent 6"/>
    <w:lsdException w:semiHidden="0" w:uiPriority="73" w:unhideWhenUsed="0" w:name="Colorful Grid Accent 6"/>
    <w:lsdException w:qFormat="1" w:semiHidden="0" w:uiPriority="19" w:unhideWhenUsed="0" w:name="Subtle Emphasis"/>
    <w:lsdException w:qFormat="1" w:semiHidden="0" w:uiPriority="21" w:unhideWhenUsed="0" w:name="Intense Emphasis"/>
    <w:lsdException w:qFormat="1" w:semiHidden="0" w:uiPriority="31" w:unhideWhenUsed="0" w:name="Subtle Reference"/>
    <w:lsdException w:qFormat="1" w:semiHidden="0" w:uiPriority="32" w:unhideWhenUsed="0" w:name="Intense Reference"/>
    <w:lsdException w:qFormat="1" w:semiHidden="0" w:uiPriority="33" w:unhideWhenUsed="0" w:name="Book Title"/>
    <w:lsdException w:uiPriority="37" w:name="Bibliography"/>
    <w:lsdException w:qFormat="1" w:uiPriority="39" w:name="TOC Heading"/>
  </w:latentStyles>
  <w:style w:type="paragraph" w:styleId="Normal" w:customStyle="1">
    <w:name w:val="Normal"/>
    <w:pPr>
      <w:widowControl/>
      <w:suppressAutoHyphens w:val="true"/>
      <w:bidi w:val="0"/>
      <w:jc w:val="left"/>
      <w:textAlignment w:val="baseline"/>
    </w:pPr>
    <w:rPr>
      <w:rFonts w:ascii="Arial" w:hAnsi="Arial" w:eastAsia="Liberation Serif" w:cs="Liberation Serif"/>
      <w:color w:val="000000"/>
      <w:sz w:val="22"/>
      <w:szCs w:val="22"/>
      <w:lang w:val="en-US" w:eastAsia="en-US" w:bidi="en-US"/>
    </w:rPr>
  </w:style>
  <w:style w:type="paragraph" w:styleId="Ttulo1">
    <w:name w:val="Título 1"/>
    <w:basedOn w:val="Normal"/>
    <w:pPr>
      <w:keepNext/>
      <w:keepLines/>
      <w:spacing w:before="200" w:after="0"/>
      <w:outlineLvl w:val="0"/>
    </w:pPr>
    <w:rPr>
      <w:rFonts w:ascii="Trebuchet MS" w:hAnsi="Trebuchet MS" w:cs="Trebuchet MS"/>
      <w:sz w:val="32"/>
      <w:szCs w:val="32"/>
    </w:rPr>
  </w:style>
  <w:style w:type="paragraph" w:styleId="Ttulo2">
    <w:name w:val="Título 2"/>
    <w:basedOn w:val="Normal"/>
    <w:pPr>
      <w:keepNext/>
      <w:keepLines/>
      <w:spacing w:before="200" w:after="0"/>
      <w:outlineLvl w:val="1"/>
    </w:pPr>
    <w:rPr>
      <w:rFonts w:ascii="Trebuchet MS" w:hAnsi="Trebuchet MS" w:cs="Trebuchet MS"/>
      <w:b/>
      <w:bCs/>
      <w:sz w:val="26"/>
      <w:szCs w:val="26"/>
    </w:rPr>
  </w:style>
  <w:style w:type="paragraph" w:styleId="Ttulo3">
    <w:name w:val="Título 3"/>
    <w:basedOn w:val="Normal"/>
    <w:pPr>
      <w:keepNext/>
      <w:keepLines/>
      <w:spacing w:before="160" w:after="0"/>
      <w:outlineLvl w:val="2"/>
    </w:pPr>
    <w:rPr>
      <w:rFonts w:ascii="Trebuchet MS" w:hAnsi="Trebuchet MS" w:cs="Trebuchet MS"/>
      <w:b/>
      <w:bCs/>
      <w:color w:val="666666"/>
      <w:sz w:val="24"/>
      <w:szCs w:val="24"/>
    </w:rPr>
  </w:style>
  <w:style w:type="paragraph" w:styleId="Ttulo4">
    <w:name w:val="Título 4"/>
    <w:basedOn w:val="Normal"/>
    <w:pPr>
      <w:keepNext/>
      <w:keepLines/>
      <w:spacing w:before="160" w:after="0"/>
      <w:outlineLvl w:val="3"/>
    </w:pPr>
    <w:rPr>
      <w:rFonts w:ascii="Trebuchet MS" w:hAnsi="Trebuchet MS" w:cs="Trebuchet MS"/>
      <w:color w:val="666666"/>
      <w:u w:val="single" w:color="000000"/>
    </w:rPr>
  </w:style>
  <w:style w:type="paragraph" w:styleId="Ttulo5">
    <w:name w:val="Título 5"/>
    <w:basedOn w:val="Normal"/>
    <w:pPr>
      <w:keepNext/>
      <w:keepLines/>
      <w:spacing w:before="160" w:after="0"/>
      <w:outlineLvl w:val="4"/>
    </w:pPr>
    <w:rPr>
      <w:rFonts w:ascii="Trebuchet MS" w:hAnsi="Trebuchet MS" w:cs="Trebuchet MS"/>
      <w:color w:val="666666"/>
    </w:rPr>
  </w:style>
  <w:style w:type="paragraph" w:styleId="Ttulo6">
    <w:name w:val="Título 6"/>
    <w:basedOn w:val="Normal"/>
    <w:pPr>
      <w:keepNext/>
      <w:keepLines/>
      <w:spacing w:before="160" w:after="0"/>
      <w:outlineLvl w:val="5"/>
    </w:pPr>
    <w:rPr>
      <w:rFonts w:ascii="Trebuchet MS" w:hAnsi="Trebuchet MS" w:cs="Trebuchet MS"/>
      <w:i/>
      <w:iCs/>
      <w:color w:val="666666"/>
    </w:rPr>
  </w:style>
  <w:style w:type="character" w:styleId="DefaultParagraphFont" w:default="1">
    <w:name w:val="Default Paragraph Font"/>
    <w:uiPriority w:val="1"/>
    <w:semiHidden/>
    <w:unhideWhenUsed/>
    <w:rPr/>
  </w:style>
  <w:style w:type="character" w:styleId="Footnotereference">
    <w:name w:val="footnote reference"/>
    <w:basedOn w:val="DefaultParagraphFont"/>
    <w:rPr>
      <w:vertAlign w:val="superscript"/>
    </w:rPr>
  </w:style>
  <w:style w:type="character" w:styleId="Ncoradanotaderodap" w:customStyle="1">
    <w:name w:val="Âncora da nota de rodapé"/>
    <w:rPr>
      <w:vertAlign w:val="superscript"/>
    </w:rPr>
  </w:style>
  <w:style w:type="character" w:styleId="Ncoradanotadefim" w:customStyle="1">
    <w:name w:val="Âncora da nota de fim"/>
    <w:rPr>
      <w:vertAlign w:val="superscript"/>
    </w:rPr>
  </w:style>
  <w:style w:type="character" w:styleId="Caracteresdenotaderodap" w:customStyle="1">
    <w:name w:val="Caracteres de nota de rodapé"/>
    <w:rPr/>
  </w:style>
  <w:style w:type="character" w:styleId="Annotationreference">
    <w:name w:val="annotation reference"/>
    <w:basedOn w:val="DefaultParagraphFont"/>
    <w:rPr>
      <w:sz w:val="16"/>
      <w:szCs w:val="16"/>
    </w:rPr>
  </w:style>
  <w:style w:type="character" w:styleId="TextodecomentrioChar" w:customStyle="1">
    <w:name w:val="Texto de comentário Char"/>
    <w:basedOn w:val="DefaultParagraphFont"/>
    <w:rPr>
      <w:rFonts w:cs="Mangal"/>
      <w:sz w:val="20"/>
      <w:szCs w:val="18"/>
    </w:rPr>
  </w:style>
  <w:style w:type="character" w:styleId="AssuntodocomentrioChar" w:customStyle="1">
    <w:name w:val="Assunto do comentário Char"/>
    <w:basedOn w:val="TextodecomentrioChar"/>
    <w:rPr>
      <w:rFonts w:cs="Mangal"/>
      <w:b/>
      <w:bCs/>
      <w:sz w:val="20"/>
      <w:szCs w:val="18"/>
    </w:rPr>
  </w:style>
  <w:style w:type="character" w:styleId="TextodebaloChar" w:customStyle="1">
    <w:name w:val="Texto de balão Char"/>
    <w:basedOn w:val="DefaultParagraphFont"/>
    <w:rPr>
      <w:rFonts w:ascii="Segoe UI" w:hAnsi="Segoe UI" w:cs="Mangal"/>
      <w:sz w:val="18"/>
      <w:szCs w:val="16"/>
    </w:rPr>
  </w:style>
  <w:style w:type="character" w:styleId="FooterChar" w:customStyle="1">
    <w:name w:val="Footer Char"/>
    <w:uiPriority w:val="99"/>
    <w:link w:val="Footer"/>
    <w:rsid w:val="001e7743"/>
    <w:basedOn w:val="DefaultParagraphFont"/>
    <w:rPr>
      <w:rFonts w:cs="Mangal"/>
      <w:szCs w:val="21"/>
    </w:rPr>
  </w:style>
  <w:style w:type="character" w:styleId="Caracteresdenotadefim">
    <w:name w:val="Caracteres de nota de fim"/>
    <w:rPr/>
  </w:style>
  <w:style w:type="paragraph" w:styleId="Ttulo" w:customStyle="1">
    <w:name w:val="Título"/>
    <w:basedOn w:val="Normal"/>
    <w:next w:val="Corpodotexto"/>
    <w:pPr>
      <w:keepNext/>
      <w:spacing w:before="240" w:after="120"/>
    </w:pPr>
    <w:rPr>
      <w:rFonts w:ascii="Liberation Sans" w:hAnsi="Liberation Sans" w:eastAsia="FreeSans" w:cs="FreeSans"/>
      <w:sz w:val="28"/>
      <w:szCs w:val="28"/>
    </w:rPr>
  </w:style>
  <w:style w:type="paragraph" w:styleId="Corpodotexto" w:customStyle="1">
    <w:name w:val="Corpo do texto"/>
    <w:basedOn w:val="Normal"/>
    <w:pPr>
      <w:spacing w:lineRule="auto" w:line="288" w:before="0" w:after="140"/>
    </w:pPr>
    <w:rPr>
      <w:rFonts w:cs="Arial"/>
    </w:rPr>
  </w:style>
  <w:style w:type="paragraph" w:styleId="Lista">
    <w:name w:val="Lista"/>
    <w:basedOn w:val="Corpodotexto"/>
    <w:pPr/>
    <w:rPr>
      <w:rFonts w:eastAsia="FreeSans" w:cs="FreeSans"/>
    </w:rPr>
  </w:style>
  <w:style w:type="paragraph" w:styleId="Legenda">
    <w:name w:val="Legenda"/>
    <w:basedOn w:val="Normal"/>
    <w:pPr>
      <w:suppressLineNumbers/>
      <w:spacing w:before="120" w:after="120"/>
    </w:pPr>
    <w:rPr>
      <w:rFonts w:cs="FreeSans"/>
      <w:i/>
      <w:iCs/>
      <w:sz w:val="24"/>
      <w:szCs w:val="24"/>
    </w:rPr>
  </w:style>
  <w:style w:type="paragraph" w:styleId="Ndice" w:customStyle="1">
    <w:name w:val="Índice"/>
    <w:basedOn w:val="Normal"/>
    <w:pPr>
      <w:suppressLineNumbers/>
    </w:pPr>
    <w:rPr>
      <w:rFonts w:eastAsia="FreeSans" w:cs="FreeSans"/>
    </w:rPr>
  </w:style>
  <w:style w:type="paragraph" w:styleId="Caption">
    <w:name w:val="caption"/>
    <w:basedOn w:val="Normal"/>
    <w:pPr>
      <w:suppressLineNumbers/>
      <w:spacing w:before="120" w:after="120"/>
    </w:pPr>
    <w:rPr>
      <w:rFonts w:eastAsia="FreeSans" w:cs="FreeSans"/>
      <w:i/>
      <w:iCs/>
      <w:sz w:val="24"/>
      <w:szCs w:val="24"/>
    </w:rPr>
  </w:style>
  <w:style w:type="paragraph" w:styleId="Semlista1" w:customStyle="1">
    <w:name w:val="Sem lista1"/>
    <w:pPr>
      <w:widowControl/>
      <w:suppressAutoHyphens w:val="true"/>
      <w:bidi w:val="0"/>
      <w:jc w:val="left"/>
      <w:textAlignment w:val="baseline"/>
    </w:pPr>
    <w:rPr>
      <w:rFonts w:ascii="Times New Roman" w:hAnsi="Times New Roman" w:eastAsia="Liberation Serif" w:cs="Liberation Serif"/>
      <w:color w:val="000000"/>
      <w:sz w:val="20"/>
      <w:szCs w:val="20"/>
      <w:lang w:val="en-US" w:eastAsia="en-US" w:bidi="en-US"/>
    </w:rPr>
  </w:style>
  <w:style w:type="paragraph" w:styleId="Ttulododocumento">
    <w:name w:val="Título do documento"/>
    <w:basedOn w:val="Normal"/>
    <w:pPr>
      <w:keepNext/>
      <w:keepLines/>
    </w:pPr>
    <w:rPr>
      <w:rFonts w:ascii="Trebuchet MS" w:hAnsi="Trebuchet MS" w:cs="Trebuchet MS"/>
      <w:sz w:val="42"/>
      <w:szCs w:val="42"/>
    </w:rPr>
  </w:style>
  <w:style w:type="paragraph" w:styleId="Subttulo">
    <w:name w:val="Subtítulo"/>
    <w:basedOn w:val="Normal"/>
    <w:pPr>
      <w:keepNext/>
      <w:keepLines/>
      <w:spacing w:before="0" w:after="200"/>
    </w:pPr>
    <w:rPr>
      <w:rFonts w:ascii="Trebuchet MS" w:hAnsi="Trebuchet MS" w:cs="Trebuchet MS"/>
      <w:i/>
      <w:iCs/>
      <w:color w:val="666666"/>
      <w:sz w:val="26"/>
      <w:szCs w:val="26"/>
    </w:rPr>
  </w:style>
  <w:style w:type="paragraph" w:styleId="Footnotetext">
    <w:name w:val="footnote text"/>
    <w:basedOn w:val="Normal"/>
    <w:pPr/>
    <w:rPr>
      <w:rFonts w:cs="Arial"/>
      <w:sz w:val="20"/>
      <w:szCs w:val="20"/>
    </w:rPr>
  </w:style>
  <w:style w:type="paragraph" w:styleId="Cabealho">
    <w:name w:val="Cabeçalho"/>
    <w:basedOn w:val="Normal"/>
    <w:pPr>
      <w:tabs>
        <w:tab w:val="center" w:pos="5386" w:leader="none"/>
        <w:tab w:val="right" w:pos="10772" w:leader="none"/>
      </w:tabs>
    </w:pPr>
    <w:rPr>
      <w:rFonts w:cs="Arial"/>
    </w:rPr>
  </w:style>
  <w:style w:type="paragraph" w:styleId="Notaderodap" w:customStyle="1">
    <w:name w:val="Nota de rodapé"/>
    <w:basedOn w:val="Normal"/>
    <w:pPr>
      <w:ind w:left="339" w:right="0" w:hanging="339"/>
    </w:pPr>
    <w:rPr>
      <w:rFonts w:cs="Arial"/>
      <w:sz w:val="20"/>
      <w:szCs w:val="20"/>
    </w:rPr>
  </w:style>
  <w:style w:type="paragraph" w:styleId="Annotationtext">
    <w:name w:val="annotation text"/>
    <w:basedOn w:val="Normal"/>
    <w:pPr/>
    <w:rPr>
      <w:rFonts w:cs="Mangal"/>
      <w:sz w:val="20"/>
      <w:szCs w:val="18"/>
    </w:rPr>
  </w:style>
  <w:style w:type="paragraph" w:styleId="Annotationsubject">
    <w:name w:val="annotation subject"/>
    <w:basedOn w:val="Annotationtext"/>
    <w:pPr/>
    <w:rPr>
      <w:b/>
      <w:bCs/>
    </w:rPr>
  </w:style>
  <w:style w:type="paragraph" w:styleId="BalloonText">
    <w:name w:val="Balloon Text"/>
    <w:basedOn w:val="Normal"/>
    <w:pPr/>
    <w:rPr>
      <w:rFonts w:ascii="Segoe UI" w:hAnsi="Segoe UI" w:cs="Mangal"/>
      <w:sz w:val="18"/>
      <w:szCs w:val="16"/>
    </w:rPr>
  </w:style>
  <w:style w:type="paragraph" w:styleId="Revision">
    <w:name w:val="Revision"/>
    <w:uiPriority w:val="99"/>
    <w:semiHidden/>
    <w:rsid w:val="002f32e0"/>
    <w:pPr>
      <w:widowControl/>
      <w:suppressAutoHyphens w:val="true"/>
      <w:bidi w:val="0"/>
      <w:jc w:val="left"/>
      <w:textAlignment w:val="auto"/>
    </w:pPr>
    <w:rPr>
      <w:rFonts w:cs="Mangal" w:ascii="Liberation Serif" w:hAnsi="Liberation Serif" w:eastAsia="Droid Sans Fallback"/>
      <w:color w:val="auto"/>
      <w:sz w:val="24"/>
      <w:szCs w:val="21"/>
      <w:lang w:val="pt-BR" w:eastAsia="zh-CN" w:bidi="hi-IN"/>
    </w:rPr>
  </w:style>
  <w:style w:type="paragraph" w:styleId="Rodap">
    <w:name w:val="Rodapé"/>
    <w:uiPriority w:val="99"/>
    <w:unhideWhenUsed/>
    <w:link w:val="FooterChar"/>
    <w:rsid w:val="001e7743"/>
    <w:basedOn w:val="Normal"/>
    <w:pPr>
      <w:tabs>
        <w:tab w:val="center" w:pos="4252" w:leader="none"/>
        <w:tab w:val="right" w:pos="8504" w:leader="none"/>
      </w:tabs>
    </w:pPr>
    <w:rPr>
      <w:rFonts w:cs="Mangal"/>
      <w:szCs w:val="21"/>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comments" Target="comments.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1F43B-6F10-344E-BC26-738AAD666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Microsoft Macintosh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2016-06-23T21:35:00Z</dcterms:created>
  <dc:language>pt-BR</dc:language>
  <dcterms:modified xsi:type="dcterms:W3CDTF">2016-06-30T21:58:00Z</dcterms:modified>
  <cp:revision>1</cp:revision>
</cp:coreProperties>
</file>