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FB6" w:rsidRDefault="00733CCC" w:rsidP="009D16F2">
      <w:pPr>
        <w:rPr>
          <w:rFonts w:cs="Times New Roman"/>
          <w:b/>
          <w:szCs w:val="24"/>
        </w:rPr>
      </w:pPr>
      <w:r>
        <w:rPr>
          <w:rFonts w:cs="Times New Roman"/>
          <w:b/>
          <w:szCs w:val="24"/>
        </w:rPr>
        <w:t>Os</w:t>
      </w:r>
      <w:r w:rsidR="004F1A8D">
        <w:rPr>
          <w:rFonts w:cs="Times New Roman"/>
          <w:b/>
          <w:szCs w:val="24"/>
        </w:rPr>
        <w:t xml:space="preserve"> direitos autorais </w:t>
      </w:r>
      <w:r>
        <w:rPr>
          <w:rFonts w:cs="Times New Roman"/>
          <w:b/>
          <w:szCs w:val="24"/>
        </w:rPr>
        <w:t xml:space="preserve">em discussão </w:t>
      </w:r>
      <w:r w:rsidR="004F1A8D">
        <w:rPr>
          <w:rFonts w:cs="Times New Roman"/>
          <w:b/>
          <w:szCs w:val="24"/>
        </w:rPr>
        <w:t xml:space="preserve">no </w:t>
      </w:r>
      <w:r w:rsidR="001B7AB7">
        <w:rPr>
          <w:rFonts w:cs="Times New Roman"/>
          <w:b/>
          <w:szCs w:val="24"/>
        </w:rPr>
        <w:t>Brasil</w:t>
      </w:r>
      <w:r>
        <w:rPr>
          <w:rFonts w:cs="Times New Roman"/>
          <w:b/>
          <w:szCs w:val="24"/>
        </w:rPr>
        <w:t xml:space="preserve"> durante o século XIX</w:t>
      </w:r>
    </w:p>
    <w:p w:rsidR="00404FB6" w:rsidRDefault="00404FB6" w:rsidP="00404FB6">
      <w:pPr>
        <w:rPr>
          <w:rFonts w:cs="Times New Roman"/>
          <w:szCs w:val="24"/>
        </w:rPr>
      </w:pPr>
    </w:p>
    <w:p w:rsidR="00D02CCC" w:rsidRDefault="00D02CCC" w:rsidP="00404FB6">
      <w:pPr>
        <w:rPr>
          <w:rFonts w:cs="Times New Roman"/>
          <w:szCs w:val="24"/>
        </w:rPr>
      </w:pPr>
    </w:p>
    <w:p w:rsidR="00B669AA" w:rsidRDefault="00E255D6" w:rsidP="00F803BC">
      <w:pPr>
        <w:spacing w:line="480" w:lineRule="auto"/>
        <w:ind w:firstLine="851"/>
        <w:rPr>
          <w:rFonts w:cs="Times New Roman"/>
          <w:szCs w:val="24"/>
        </w:rPr>
      </w:pPr>
      <w:r>
        <w:rPr>
          <w:rFonts w:cs="Times New Roman"/>
          <w:szCs w:val="24"/>
        </w:rPr>
        <w:t xml:space="preserve">Os leitores brasileiros do século XIX não </w:t>
      </w:r>
      <w:r w:rsidR="00F803BC">
        <w:rPr>
          <w:rFonts w:cs="Times New Roman"/>
          <w:szCs w:val="24"/>
        </w:rPr>
        <w:t>possuíam t</w:t>
      </w:r>
      <w:r w:rsidR="00404FB6" w:rsidRPr="006213C4">
        <w:rPr>
          <w:rFonts w:cs="Times New Roman"/>
          <w:szCs w:val="24"/>
        </w:rPr>
        <w:t xml:space="preserve">raduções </w:t>
      </w:r>
      <w:r>
        <w:rPr>
          <w:rFonts w:cs="Times New Roman"/>
          <w:szCs w:val="24"/>
        </w:rPr>
        <w:t xml:space="preserve">inteiramente </w:t>
      </w:r>
      <w:r w:rsidR="00404FB6" w:rsidRPr="006213C4">
        <w:rPr>
          <w:rFonts w:cs="Times New Roman"/>
          <w:szCs w:val="24"/>
        </w:rPr>
        <w:t xml:space="preserve">claras quanto ao papel desempenhado pelo tradutor </w:t>
      </w:r>
      <w:r w:rsidR="00F803BC">
        <w:rPr>
          <w:rFonts w:cs="Times New Roman"/>
          <w:szCs w:val="24"/>
        </w:rPr>
        <w:t>e</w:t>
      </w:r>
      <w:r w:rsidR="00404FB6" w:rsidRPr="006213C4">
        <w:rPr>
          <w:rFonts w:cs="Times New Roman"/>
          <w:szCs w:val="24"/>
        </w:rPr>
        <w:t xml:space="preserve"> de sua interferência nos textos finais. Os autores dos textos, </w:t>
      </w:r>
      <w:r w:rsidR="00F803BC">
        <w:rPr>
          <w:rFonts w:cs="Times New Roman"/>
          <w:szCs w:val="24"/>
        </w:rPr>
        <w:t>muitas vezes, não</w:t>
      </w:r>
      <w:r w:rsidR="00404FB6" w:rsidRPr="006213C4">
        <w:rPr>
          <w:rFonts w:cs="Times New Roman"/>
          <w:szCs w:val="24"/>
        </w:rPr>
        <w:t xml:space="preserve"> eram claramente explicitados, nem os créditos de tradução eram precisos. Disto decorria uma série de dúvidas relacionadas à autoria, bem como à fidelidade das tr</w:t>
      </w:r>
      <w:r w:rsidR="00CD0187">
        <w:rPr>
          <w:rFonts w:cs="Times New Roman"/>
          <w:szCs w:val="24"/>
        </w:rPr>
        <w:t>aduções que chegavam ao Brasil.</w:t>
      </w:r>
    </w:p>
    <w:p w:rsidR="00404FB6" w:rsidRPr="006213C4" w:rsidRDefault="00404FB6" w:rsidP="00F803BC">
      <w:pPr>
        <w:spacing w:line="480" w:lineRule="auto"/>
        <w:ind w:firstLine="851"/>
        <w:rPr>
          <w:rFonts w:cs="Times New Roman"/>
          <w:szCs w:val="24"/>
        </w:rPr>
      </w:pPr>
      <w:r w:rsidRPr="006213C4">
        <w:rPr>
          <w:rFonts w:cs="Times New Roman"/>
          <w:szCs w:val="24"/>
        </w:rPr>
        <w:t xml:space="preserve">A indefinição a respeito das ações de tradução, adaptação e autoria era grande e motivava raciocínios que confundiam e relativizavam estas práticas a respeito dos textos literários. Por essa razão Francisco de Paula Brito podia afirmar, na abertura de um dos folhetins publicados pelo </w:t>
      </w:r>
      <w:r w:rsidRPr="006213C4">
        <w:rPr>
          <w:rFonts w:cs="Times New Roman"/>
          <w:i/>
          <w:szCs w:val="24"/>
        </w:rPr>
        <w:t>Jornal do Commercio</w:t>
      </w:r>
      <w:r w:rsidRPr="006213C4">
        <w:rPr>
          <w:rFonts w:cs="Times New Roman"/>
          <w:szCs w:val="24"/>
        </w:rPr>
        <w:t>, em 1839, “não compusemos, não traduzimos, nem abreviamos um romance. E</w:t>
      </w:r>
      <w:proofErr w:type="gramStart"/>
      <w:r w:rsidRPr="006213C4">
        <w:rPr>
          <w:rFonts w:cs="Times New Roman"/>
          <w:szCs w:val="24"/>
        </w:rPr>
        <w:t xml:space="preserve"> todavia</w:t>
      </w:r>
      <w:proofErr w:type="gramEnd"/>
      <w:r w:rsidRPr="006213C4">
        <w:rPr>
          <w:rFonts w:cs="Times New Roman"/>
          <w:szCs w:val="24"/>
        </w:rPr>
        <w:t xml:space="preserve"> compusemos, traduzimos e abreviamos um romance”</w:t>
      </w:r>
      <w:r w:rsidR="00832091">
        <w:rPr>
          <w:rFonts w:cs="Times New Roman"/>
          <w:szCs w:val="24"/>
        </w:rPr>
        <w:t>.</w:t>
      </w:r>
      <w:r w:rsidR="00832091">
        <w:rPr>
          <w:rStyle w:val="Refdenotaderodap"/>
          <w:rFonts w:cs="Times New Roman"/>
          <w:szCs w:val="24"/>
        </w:rPr>
        <w:footnoteReference w:id="1"/>
      </w:r>
      <w:r w:rsidRPr="006213C4">
        <w:rPr>
          <w:rFonts w:cs="Times New Roman"/>
          <w:szCs w:val="24"/>
        </w:rPr>
        <w:t xml:space="preserve"> Isto queria dizer que muito do que seria publicado a seguir, no folhetim </w:t>
      </w:r>
      <w:r w:rsidRPr="006213C4">
        <w:rPr>
          <w:rFonts w:cs="Times New Roman"/>
          <w:i/>
          <w:szCs w:val="24"/>
        </w:rPr>
        <w:t>O pontífice e os carbonários</w:t>
      </w:r>
      <w:r w:rsidR="00832091" w:rsidRPr="006213C4">
        <w:rPr>
          <w:rStyle w:val="Refdenotaderodap"/>
          <w:rFonts w:cs="Times New Roman"/>
          <w:szCs w:val="24"/>
        </w:rPr>
        <w:footnoteReference w:id="2"/>
      </w:r>
      <w:r w:rsidR="00832091" w:rsidRPr="006213C4">
        <w:rPr>
          <w:rFonts w:cs="Times New Roman"/>
          <w:szCs w:val="24"/>
        </w:rPr>
        <w:t xml:space="preserve"> </w:t>
      </w:r>
      <w:r w:rsidRPr="006213C4">
        <w:rPr>
          <w:rFonts w:cs="Times New Roman"/>
          <w:szCs w:val="24"/>
        </w:rPr>
        <w:t>resulta</w:t>
      </w:r>
      <w:r w:rsidR="00B669AA">
        <w:rPr>
          <w:rFonts w:cs="Times New Roman"/>
          <w:szCs w:val="24"/>
        </w:rPr>
        <w:t>va</w:t>
      </w:r>
      <w:r w:rsidRPr="006213C4">
        <w:rPr>
          <w:rFonts w:cs="Times New Roman"/>
          <w:szCs w:val="24"/>
        </w:rPr>
        <w:t xml:space="preserve"> de uma adaptação pou</w:t>
      </w:r>
      <w:r w:rsidR="00B669AA">
        <w:rPr>
          <w:rFonts w:cs="Times New Roman"/>
          <w:szCs w:val="24"/>
        </w:rPr>
        <w:t xml:space="preserve">co </w:t>
      </w:r>
      <w:r w:rsidRPr="006213C4">
        <w:rPr>
          <w:rFonts w:cs="Times New Roman"/>
          <w:szCs w:val="24"/>
        </w:rPr>
        <w:t xml:space="preserve">ortodoxa, tendo em vista que </w:t>
      </w:r>
      <w:r w:rsidR="00B669AA">
        <w:rPr>
          <w:rFonts w:cs="Times New Roman"/>
          <w:szCs w:val="24"/>
        </w:rPr>
        <w:t>Paula Brito afirmava: “</w:t>
      </w:r>
      <w:r w:rsidRPr="006213C4">
        <w:rPr>
          <w:rFonts w:cs="Times New Roman"/>
          <w:szCs w:val="24"/>
        </w:rPr>
        <w:t>o fundo da presente composição não é nosso, e muitas de suas páginas são literalmente traduzidas, porém alg</w:t>
      </w:r>
      <w:r w:rsidR="00832091">
        <w:rPr>
          <w:rFonts w:cs="Times New Roman"/>
          <w:szCs w:val="24"/>
        </w:rPr>
        <w:t>umas ide</w:t>
      </w:r>
      <w:r w:rsidRPr="006213C4">
        <w:rPr>
          <w:rFonts w:cs="Times New Roman"/>
          <w:szCs w:val="24"/>
        </w:rPr>
        <w:t>ias são nossas”</w:t>
      </w:r>
      <w:r w:rsidR="00832091">
        <w:rPr>
          <w:rFonts w:cs="Times New Roman"/>
          <w:szCs w:val="24"/>
        </w:rPr>
        <w:t>.</w:t>
      </w:r>
      <w:r w:rsidR="00832091">
        <w:rPr>
          <w:rStyle w:val="Refdenotaderodap"/>
          <w:rFonts w:cs="Times New Roman"/>
          <w:szCs w:val="24"/>
        </w:rPr>
        <w:footnoteReference w:id="3"/>
      </w:r>
      <w:r w:rsidRPr="006213C4">
        <w:rPr>
          <w:rFonts w:cs="Times New Roman"/>
          <w:szCs w:val="24"/>
        </w:rPr>
        <w:t xml:space="preserve"> Certamente, definir em relação ao trabalho publicado o que resultava da autoria de Paula Brito ou de Alexandre Dumas não era uma questão de fácil solução. Tal problema permite-nos compreender porque tais adaptações também eram perigosas para o estabelecimento da literatura nacional, uma vez que era nessas ações de troca pouco definidas com a </w:t>
      </w:r>
      <w:r w:rsidR="00B669AA">
        <w:rPr>
          <w:rFonts w:cs="Times New Roman"/>
          <w:szCs w:val="24"/>
        </w:rPr>
        <w:t>produção</w:t>
      </w:r>
      <w:r w:rsidRPr="006213C4">
        <w:rPr>
          <w:rFonts w:cs="Times New Roman"/>
          <w:szCs w:val="24"/>
        </w:rPr>
        <w:t xml:space="preserve"> estrangeira que se buscava dar os primeiros passos numa </w:t>
      </w:r>
      <w:r w:rsidR="00B669AA">
        <w:rPr>
          <w:rFonts w:cs="Times New Roman"/>
          <w:szCs w:val="24"/>
        </w:rPr>
        <w:t>atividade</w:t>
      </w:r>
      <w:r w:rsidRPr="006213C4">
        <w:rPr>
          <w:rFonts w:cs="Times New Roman"/>
          <w:szCs w:val="24"/>
        </w:rPr>
        <w:t xml:space="preserve"> literária propriamente brasileira.</w:t>
      </w:r>
    </w:p>
    <w:p w:rsidR="00404FB6" w:rsidRPr="006213C4" w:rsidRDefault="00404FB6" w:rsidP="00F803BC">
      <w:pPr>
        <w:spacing w:line="480" w:lineRule="auto"/>
        <w:ind w:firstLine="851"/>
        <w:rPr>
          <w:kern w:val="1"/>
        </w:rPr>
      </w:pPr>
      <w:r w:rsidRPr="006213C4">
        <w:rPr>
          <w:kern w:val="1"/>
        </w:rPr>
        <w:t>Com vistas a ultrapassar esse tipo de problema e com interesse de afirmar a importância da figura autoral, foi que se promoveram discussões acerca da vantagem de se desenvolver</w:t>
      </w:r>
      <w:r w:rsidR="00E165C3">
        <w:rPr>
          <w:kern w:val="1"/>
        </w:rPr>
        <w:t xml:space="preserve">, no Brasil, </w:t>
      </w:r>
      <w:r w:rsidRPr="006213C4">
        <w:rPr>
          <w:kern w:val="1"/>
        </w:rPr>
        <w:t>a doutrina dos direitos autorais. Sua definição como norma procurava controlar a escrita literária por meio da identificação de responsabilidades e, por outro lado, prover garanti</w:t>
      </w:r>
      <w:r w:rsidR="00E165C3">
        <w:rPr>
          <w:kern w:val="1"/>
        </w:rPr>
        <w:t>as</w:t>
      </w:r>
      <w:r w:rsidRPr="006213C4">
        <w:rPr>
          <w:kern w:val="1"/>
        </w:rPr>
        <w:t xml:space="preserve"> </w:t>
      </w:r>
      <w:r w:rsidR="00E165C3">
        <w:rPr>
          <w:kern w:val="1"/>
        </w:rPr>
        <w:t>à</w:t>
      </w:r>
      <w:r w:rsidRPr="006213C4">
        <w:rPr>
          <w:kern w:val="1"/>
        </w:rPr>
        <w:t xml:space="preserve"> propriedade do </w:t>
      </w:r>
      <w:r w:rsidRPr="006213C4">
        <w:rPr>
          <w:kern w:val="1"/>
        </w:rPr>
        <w:lastRenderedPageBreak/>
        <w:t xml:space="preserve">texto </w:t>
      </w:r>
      <w:r w:rsidR="00E165C3">
        <w:rPr>
          <w:kern w:val="1"/>
        </w:rPr>
        <w:t>public</w:t>
      </w:r>
      <w:r w:rsidRPr="006213C4">
        <w:rPr>
          <w:kern w:val="1"/>
        </w:rPr>
        <w:t>ado</w:t>
      </w:r>
      <w:r w:rsidR="00EB44CC">
        <w:rPr>
          <w:kern w:val="1"/>
        </w:rPr>
        <w:t>, além de</w:t>
      </w:r>
      <w:r w:rsidRPr="006213C4">
        <w:rPr>
          <w:kern w:val="1"/>
        </w:rPr>
        <w:t xml:space="preserve"> elevar a consideração sobre o trabalho letrado. No processo de estabelecimento do mercado literário </w:t>
      </w:r>
      <w:r w:rsidR="00952F9B">
        <w:rPr>
          <w:kern w:val="1"/>
        </w:rPr>
        <w:t>brasileiro</w:t>
      </w:r>
      <w:r w:rsidRPr="006213C4">
        <w:rPr>
          <w:kern w:val="1"/>
        </w:rPr>
        <w:t xml:space="preserve"> no século XIX, foi se construindo entre literatos, leitores e editores a compreensão da propriedade literária e, posteriormente, dos </w:t>
      </w:r>
      <w:r w:rsidR="00E165C3">
        <w:rPr>
          <w:kern w:val="1"/>
        </w:rPr>
        <w:t xml:space="preserve">chamados </w:t>
      </w:r>
      <w:r w:rsidRPr="006213C4">
        <w:rPr>
          <w:kern w:val="1"/>
        </w:rPr>
        <w:t>direito</w:t>
      </w:r>
      <w:r w:rsidR="00952F9B">
        <w:rPr>
          <w:kern w:val="1"/>
        </w:rPr>
        <w:t>s autorais.</w:t>
      </w:r>
    </w:p>
    <w:p w:rsidR="00404FB6" w:rsidRPr="006213C4" w:rsidRDefault="00404FB6" w:rsidP="00F803BC">
      <w:pPr>
        <w:spacing w:line="480" w:lineRule="auto"/>
        <w:ind w:firstLine="851"/>
        <w:rPr>
          <w:kern w:val="1"/>
        </w:rPr>
      </w:pPr>
      <w:r w:rsidRPr="006213C4">
        <w:rPr>
          <w:kern w:val="1"/>
        </w:rPr>
        <w:t xml:space="preserve">Como questão legal, o acompanhamento da legislação sobre </w:t>
      </w:r>
      <w:r w:rsidR="00E165C3">
        <w:rPr>
          <w:kern w:val="1"/>
        </w:rPr>
        <w:t xml:space="preserve">a </w:t>
      </w:r>
      <w:r w:rsidRPr="006213C4">
        <w:rPr>
          <w:kern w:val="1"/>
        </w:rPr>
        <w:t>proteção da propriedade intelectual apresenta-se como caminho mais evidente e</w:t>
      </w:r>
      <w:r w:rsidR="00E165C3">
        <w:rPr>
          <w:kern w:val="1"/>
        </w:rPr>
        <w:t xml:space="preserve"> eficaz</w:t>
      </w:r>
      <w:r w:rsidRPr="006213C4">
        <w:rPr>
          <w:kern w:val="1"/>
        </w:rPr>
        <w:t xml:space="preserve">. </w:t>
      </w:r>
      <w:r w:rsidR="00E165C3">
        <w:rPr>
          <w:kern w:val="1"/>
        </w:rPr>
        <w:t>No entanto,</w:t>
      </w:r>
      <w:r w:rsidR="00952F9B">
        <w:rPr>
          <w:kern w:val="1"/>
        </w:rPr>
        <w:t xml:space="preserve"> a</w:t>
      </w:r>
      <w:r w:rsidRPr="006213C4">
        <w:rPr>
          <w:kern w:val="1"/>
        </w:rPr>
        <w:t xml:space="preserve">companhar ambientes de discussão </w:t>
      </w:r>
      <w:r w:rsidR="00E165C3">
        <w:rPr>
          <w:kern w:val="1"/>
        </w:rPr>
        <w:t xml:space="preserve">variados, tais como as </w:t>
      </w:r>
      <w:r w:rsidRPr="006213C4">
        <w:rPr>
          <w:kern w:val="1"/>
        </w:rPr>
        <w:t>discussões legislativas</w:t>
      </w:r>
      <w:r w:rsidR="00E165C3">
        <w:rPr>
          <w:kern w:val="1"/>
        </w:rPr>
        <w:t xml:space="preserve"> e a publicação jornalística sobre a questão</w:t>
      </w:r>
      <w:r w:rsidRPr="006213C4">
        <w:rPr>
          <w:kern w:val="1"/>
        </w:rPr>
        <w:t xml:space="preserve">, ainda que não resultassem na efetivação de leis que protegessem os autores, </w:t>
      </w:r>
      <w:r w:rsidR="00E165C3">
        <w:rPr>
          <w:kern w:val="1"/>
        </w:rPr>
        <w:t xml:space="preserve">permite vislumbrar </w:t>
      </w:r>
      <w:r w:rsidR="0087426F">
        <w:rPr>
          <w:kern w:val="1"/>
        </w:rPr>
        <w:t xml:space="preserve">negociações que evidenciam a construção da abordagem brasileira do problema dos direitos dos autores sobre suas obras. </w:t>
      </w:r>
      <w:r w:rsidRPr="006213C4">
        <w:rPr>
          <w:kern w:val="1"/>
        </w:rPr>
        <w:t>Na perspectiva das disputas sobre o direito autoral, cabe analisar os principais passos para a definição legal das atribuições dos autores frente à legislação constituída ao longo do século XIX no Brasil.</w:t>
      </w:r>
    </w:p>
    <w:p w:rsidR="00952F9B" w:rsidRDefault="00404FB6" w:rsidP="00952F9B">
      <w:pPr>
        <w:spacing w:line="480" w:lineRule="auto"/>
        <w:ind w:firstLine="851"/>
        <w:rPr>
          <w:rFonts w:cs="Times New Roman"/>
          <w:szCs w:val="24"/>
        </w:rPr>
      </w:pPr>
      <w:r w:rsidRPr="006213C4">
        <w:rPr>
          <w:kern w:val="1"/>
        </w:rPr>
        <w:t>Desde a Constituição de 1824 a proteção aos inventores era garantida e sua desobediência resultava em punição. Sem, contudo, referir-se explicitamente à propriedade intelectual, na prática o problema persistia, deixando autores e editores sem ação efetiva diante de desrespeitos a esse direito.</w:t>
      </w:r>
      <w:r w:rsidR="00347280">
        <w:rPr>
          <w:rFonts w:cs="Times New Roman"/>
          <w:szCs w:val="24"/>
        </w:rPr>
        <w:t xml:space="preserve"> </w:t>
      </w:r>
      <w:r w:rsidRPr="006213C4">
        <w:rPr>
          <w:rFonts w:cs="Times New Roman"/>
          <w:szCs w:val="24"/>
        </w:rPr>
        <w:t xml:space="preserve">Como resposta não só às ocorrências danosas ao estabelecimento do negócio do livro no Brasil, foram desenvolvidas limitações à impressão, à circulação e à negociação de obras literárias. </w:t>
      </w:r>
    </w:p>
    <w:p w:rsidR="00404FB6" w:rsidRPr="006213C4" w:rsidRDefault="00404FB6" w:rsidP="00952F9B">
      <w:pPr>
        <w:spacing w:line="480" w:lineRule="auto"/>
        <w:ind w:firstLine="851"/>
        <w:rPr>
          <w:rFonts w:cs="Times New Roman"/>
          <w:szCs w:val="24"/>
        </w:rPr>
      </w:pPr>
      <w:r w:rsidRPr="006213C4">
        <w:rPr>
          <w:rFonts w:cs="Times New Roman"/>
          <w:szCs w:val="24"/>
        </w:rPr>
        <w:t>Frequentemente os estudos sobre o tema</w:t>
      </w:r>
      <w:r w:rsidR="00832091">
        <w:rPr>
          <w:rStyle w:val="Refdenotaderodap"/>
          <w:rFonts w:cs="Times New Roman"/>
          <w:szCs w:val="24"/>
        </w:rPr>
        <w:footnoteReference w:id="4"/>
      </w:r>
      <w:r w:rsidR="00832091">
        <w:rPr>
          <w:rFonts w:cs="Times New Roman"/>
          <w:szCs w:val="24"/>
        </w:rPr>
        <w:t xml:space="preserve"> </w:t>
      </w:r>
      <w:r w:rsidRPr="006213C4">
        <w:rPr>
          <w:rFonts w:cs="Times New Roman"/>
          <w:szCs w:val="24"/>
        </w:rPr>
        <w:t xml:space="preserve">localizam o primeiro tratamento da questão como sendo a Lei de 11 de agosto de 1827, que criou cursos de direito em São Paulo e em Olinda. Em seu artigo 7º, a lei tratava dos compêndios que poderiam ser produzidos </w:t>
      </w:r>
      <w:proofErr w:type="gramStart"/>
      <w:r w:rsidRPr="006213C4">
        <w:rPr>
          <w:rFonts w:cs="Times New Roman"/>
          <w:szCs w:val="24"/>
        </w:rPr>
        <w:t>pelos lentes</w:t>
      </w:r>
      <w:proofErr w:type="gramEnd"/>
      <w:r w:rsidRPr="006213C4">
        <w:rPr>
          <w:rFonts w:cs="Times New Roman"/>
          <w:szCs w:val="24"/>
        </w:rPr>
        <w:t xml:space="preserve"> d</w:t>
      </w:r>
      <w:r w:rsidR="00347280">
        <w:rPr>
          <w:rFonts w:cs="Times New Roman"/>
          <w:szCs w:val="24"/>
        </w:rPr>
        <w:t xml:space="preserve">os </w:t>
      </w:r>
      <w:r w:rsidRPr="006213C4">
        <w:rPr>
          <w:rFonts w:cs="Times New Roman"/>
          <w:szCs w:val="24"/>
        </w:rPr>
        <w:t xml:space="preserve">cursos, assegurando o privilégio exclusivo de suas obras pelo prazo de dez anos. Que o artigo tinha relação com os direitos de autores, não há dúvida, mas considerá-lo como primeiro ato em defesa de direitos autorais </w:t>
      </w:r>
      <w:r w:rsidR="00952F9B">
        <w:rPr>
          <w:rFonts w:cs="Times New Roman"/>
          <w:szCs w:val="24"/>
        </w:rPr>
        <w:t xml:space="preserve">no país </w:t>
      </w:r>
      <w:r w:rsidRPr="006213C4">
        <w:rPr>
          <w:rFonts w:cs="Times New Roman"/>
          <w:szCs w:val="24"/>
        </w:rPr>
        <w:t xml:space="preserve">seria </w:t>
      </w:r>
      <w:r w:rsidR="00752C72">
        <w:rPr>
          <w:rFonts w:cs="Times New Roman"/>
          <w:szCs w:val="24"/>
        </w:rPr>
        <w:t>ir longe demais</w:t>
      </w:r>
      <w:r w:rsidR="0058115F">
        <w:rPr>
          <w:rFonts w:cs="Times New Roman"/>
          <w:szCs w:val="24"/>
        </w:rPr>
        <w:t>.</w:t>
      </w:r>
      <w:r w:rsidRPr="006213C4">
        <w:rPr>
          <w:rFonts w:cs="Times New Roman"/>
          <w:szCs w:val="24"/>
        </w:rPr>
        <w:t xml:space="preserve"> Como a própria formulaçã</w:t>
      </w:r>
      <w:r w:rsidR="00752C72">
        <w:rPr>
          <w:rFonts w:cs="Times New Roman"/>
          <w:szCs w:val="24"/>
        </w:rPr>
        <w:t xml:space="preserve">o da lei adiantava, tratava-se </w:t>
      </w:r>
      <w:r w:rsidRPr="006213C4">
        <w:rPr>
          <w:rFonts w:cs="Times New Roman"/>
          <w:szCs w:val="24"/>
        </w:rPr>
        <w:t>mais d</w:t>
      </w:r>
      <w:r w:rsidR="00752C72">
        <w:rPr>
          <w:rFonts w:cs="Times New Roman"/>
          <w:szCs w:val="24"/>
        </w:rPr>
        <w:t>a</w:t>
      </w:r>
      <w:r w:rsidRPr="006213C4">
        <w:rPr>
          <w:rFonts w:cs="Times New Roman"/>
          <w:szCs w:val="24"/>
        </w:rPr>
        <w:t xml:space="preserve"> aplicação do antigo privilégio e não de uma formulação legal </w:t>
      </w:r>
      <w:r w:rsidR="00752C72">
        <w:rPr>
          <w:rFonts w:cs="Times New Roman"/>
          <w:szCs w:val="24"/>
        </w:rPr>
        <w:t>que</w:t>
      </w:r>
      <w:r w:rsidRPr="006213C4">
        <w:rPr>
          <w:rFonts w:cs="Times New Roman"/>
          <w:szCs w:val="24"/>
        </w:rPr>
        <w:t xml:space="preserve"> garanti</w:t>
      </w:r>
      <w:r w:rsidR="00752C72">
        <w:rPr>
          <w:rFonts w:cs="Times New Roman"/>
          <w:szCs w:val="24"/>
        </w:rPr>
        <w:t>sse</w:t>
      </w:r>
      <w:r w:rsidRPr="006213C4">
        <w:rPr>
          <w:rFonts w:cs="Times New Roman"/>
          <w:szCs w:val="24"/>
        </w:rPr>
        <w:t xml:space="preserve"> direitos de autores sobre seus textos impressos.</w:t>
      </w:r>
    </w:p>
    <w:p w:rsidR="00404FB6" w:rsidRPr="006213C4" w:rsidRDefault="00404FB6" w:rsidP="005651A7">
      <w:pPr>
        <w:spacing w:afterLines="40" w:line="480" w:lineRule="auto"/>
        <w:ind w:firstLine="851"/>
        <w:rPr>
          <w:rFonts w:cs="Times New Roman"/>
          <w:szCs w:val="24"/>
        </w:rPr>
      </w:pPr>
      <w:r w:rsidRPr="006213C4">
        <w:rPr>
          <w:rFonts w:cs="Times New Roman"/>
          <w:szCs w:val="24"/>
        </w:rPr>
        <w:lastRenderedPageBreak/>
        <w:t xml:space="preserve">Efetivamente, a matéria foi abordada legalmente apenas </w:t>
      </w:r>
      <w:r w:rsidR="00952F9B">
        <w:rPr>
          <w:rFonts w:cs="Times New Roman"/>
          <w:szCs w:val="24"/>
        </w:rPr>
        <w:t xml:space="preserve">em 1830, </w:t>
      </w:r>
      <w:r w:rsidRPr="006213C4">
        <w:rPr>
          <w:rFonts w:cs="Times New Roman"/>
          <w:szCs w:val="24"/>
        </w:rPr>
        <w:t xml:space="preserve">quando o </w:t>
      </w:r>
      <w:r w:rsidRPr="00752C72">
        <w:rPr>
          <w:rFonts w:cs="Times New Roman"/>
          <w:i/>
          <w:szCs w:val="24"/>
        </w:rPr>
        <w:t>Código Criminal do Império</w:t>
      </w:r>
      <w:r w:rsidRPr="006213C4">
        <w:rPr>
          <w:rFonts w:cs="Times New Roman"/>
          <w:szCs w:val="24"/>
        </w:rPr>
        <w:t xml:space="preserve"> criminalizou impressões realizadas sem autorização de seus autores. No título III de sua terceira parte, que tratava dos crimes contra a propriedade, proibia-se a reprodução de escritos ou de estampas feitos, compostos ou traduzidos por cidadãos brasileiros. Ignorando produções de autores estrangeiros, a proteção durava enquanto vivesse o autor e, a seguir, por um período de dez anos após sua morte, caso existissem herdeiros.</w:t>
      </w:r>
    </w:p>
    <w:p w:rsidR="00404FB6" w:rsidRPr="006213C4" w:rsidRDefault="00404FB6" w:rsidP="005651A7">
      <w:pPr>
        <w:spacing w:afterLines="40" w:line="480" w:lineRule="auto"/>
        <w:ind w:firstLine="851"/>
        <w:rPr>
          <w:rFonts w:cs="Times New Roman"/>
          <w:szCs w:val="24"/>
        </w:rPr>
      </w:pPr>
      <w:r w:rsidRPr="006213C4">
        <w:rPr>
          <w:rFonts w:cs="Times New Roman"/>
          <w:szCs w:val="24"/>
        </w:rPr>
        <w:t>A concretização de tais direitos, no entanto, foi limitada na maioria das vezes aos interesses de editores, tendo em vista que as condições de publicação experimentadas no Brasil foram historicamente desfavoráveis aos autores. Resignados, os escritores tinham poucas opções para a exposição de seus trabalhos e entregavam seus manuscritos aos editores por intermédio de contratos pouco vantajosos. Como resultado, foram transferidos a eles quaisquer direitos sobre seus escrit</w:t>
      </w:r>
      <w:r w:rsidR="00952F9B">
        <w:rPr>
          <w:rFonts w:cs="Times New Roman"/>
          <w:szCs w:val="24"/>
        </w:rPr>
        <w:t>os em troca de quantias</w:t>
      </w:r>
      <w:r w:rsidRPr="006213C4">
        <w:rPr>
          <w:rFonts w:cs="Times New Roman"/>
          <w:szCs w:val="24"/>
        </w:rPr>
        <w:t xml:space="preserve"> </w:t>
      </w:r>
      <w:r w:rsidR="00952F9B">
        <w:rPr>
          <w:rFonts w:cs="Times New Roman"/>
          <w:szCs w:val="24"/>
        </w:rPr>
        <w:t>diminut</w:t>
      </w:r>
      <w:r w:rsidRPr="006213C4">
        <w:rPr>
          <w:rFonts w:cs="Times New Roman"/>
          <w:szCs w:val="24"/>
        </w:rPr>
        <w:t xml:space="preserve">as. </w:t>
      </w:r>
      <w:r w:rsidR="00D30702">
        <w:rPr>
          <w:rFonts w:cs="Times New Roman"/>
          <w:szCs w:val="24"/>
        </w:rPr>
        <w:t>Quem</w:t>
      </w:r>
      <w:r w:rsidRPr="006213C4">
        <w:rPr>
          <w:rFonts w:cs="Times New Roman"/>
          <w:szCs w:val="24"/>
        </w:rPr>
        <w:t xml:space="preserve"> se envolvia na defesa de direitos relacionados à p</w:t>
      </w:r>
      <w:r w:rsidR="00952F9B">
        <w:rPr>
          <w:rFonts w:cs="Times New Roman"/>
          <w:szCs w:val="24"/>
        </w:rPr>
        <w:t>ropriedade dos textos</w:t>
      </w:r>
      <w:r w:rsidRPr="006213C4">
        <w:rPr>
          <w:rFonts w:cs="Times New Roman"/>
          <w:szCs w:val="24"/>
        </w:rPr>
        <w:t xml:space="preserve"> eram, na maioria das vezes, os editores, reforçando a dimensão econômica sobre qualquer outra, tal como estava expresso na legislação relacionada.</w:t>
      </w:r>
    </w:p>
    <w:p w:rsidR="00F84ADB" w:rsidRDefault="00404FB6" w:rsidP="005651A7">
      <w:pPr>
        <w:spacing w:afterLines="40" w:line="480" w:lineRule="auto"/>
        <w:ind w:firstLine="851"/>
        <w:rPr>
          <w:rFonts w:cs="Times New Roman"/>
          <w:szCs w:val="24"/>
        </w:rPr>
      </w:pPr>
      <w:r w:rsidRPr="006213C4">
        <w:rPr>
          <w:rFonts w:cs="Times New Roman"/>
          <w:szCs w:val="24"/>
        </w:rPr>
        <w:t xml:space="preserve">A debilidade do tratamento dispensado </w:t>
      </w:r>
      <w:r w:rsidR="00952F9B">
        <w:rPr>
          <w:rFonts w:cs="Times New Roman"/>
          <w:szCs w:val="24"/>
        </w:rPr>
        <w:t>a</w:t>
      </w:r>
      <w:r w:rsidRPr="006213C4">
        <w:rPr>
          <w:rFonts w:cs="Times New Roman"/>
          <w:szCs w:val="24"/>
        </w:rPr>
        <w:t>os direitos autorais continuou</w:t>
      </w:r>
      <w:r w:rsidR="005A7074">
        <w:rPr>
          <w:rFonts w:cs="Times New Roman"/>
          <w:szCs w:val="24"/>
        </w:rPr>
        <w:t>,</w:t>
      </w:r>
      <w:r w:rsidR="00952F9B">
        <w:rPr>
          <w:rFonts w:cs="Times New Roman"/>
          <w:szCs w:val="24"/>
        </w:rPr>
        <w:t xml:space="preserve"> até </w:t>
      </w:r>
      <w:r w:rsidRPr="006213C4">
        <w:rPr>
          <w:rFonts w:cs="Times New Roman"/>
          <w:szCs w:val="24"/>
        </w:rPr>
        <w:t>a década</w:t>
      </w:r>
      <w:r w:rsidR="00952F9B">
        <w:rPr>
          <w:rFonts w:cs="Times New Roman"/>
          <w:szCs w:val="24"/>
        </w:rPr>
        <w:t>,</w:t>
      </w:r>
      <w:r w:rsidRPr="006213C4">
        <w:rPr>
          <w:rFonts w:cs="Times New Roman"/>
          <w:szCs w:val="24"/>
        </w:rPr>
        <w:t xml:space="preserve"> de 1850</w:t>
      </w:r>
      <w:r w:rsidR="00952F9B">
        <w:rPr>
          <w:rFonts w:cs="Times New Roman"/>
          <w:szCs w:val="24"/>
        </w:rPr>
        <w:t>, quando</w:t>
      </w:r>
      <w:r w:rsidRPr="006213C4">
        <w:rPr>
          <w:rFonts w:cs="Times New Roman"/>
          <w:szCs w:val="24"/>
        </w:rPr>
        <w:t xml:space="preserve"> fo</w:t>
      </w:r>
      <w:r w:rsidR="00952F9B">
        <w:rPr>
          <w:rFonts w:cs="Times New Roman"/>
          <w:szCs w:val="24"/>
        </w:rPr>
        <w:t>ra</w:t>
      </w:r>
      <w:r w:rsidRPr="006213C4">
        <w:rPr>
          <w:rFonts w:cs="Times New Roman"/>
          <w:szCs w:val="24"/>
        </w:rPr>
        <w:t>m propostas duas leis que visavam garantir a propriedade literária aos autores brasileiros.</w:t>
      </w:r>
      <w:r w:rsidR="005A7074">
        <w:rPr>
          <w:rFonts w:cs="Times New Roman"/>
          <w:szCs w:val="24"/>
        </w:rPr>
        <w:t xml:space="preserve"> </w:t>
      </w:r>
      <w:r w:rsidRPr="006213C4">
        <w:rPr>
          <w:rFonts w:cs="Times New Roman"/>
          <w:szCs w:val="24"/>
        </w:rPr>
        <w:t>Em 1856, Aprígio Guimarães apresentou uma proposta de lei. Seguindo parte do tratamento internacional sobre a matéria, que evoca inclusive quando apresenta seu projeto</w:t>
      </w:r>
      <w:r w:rsidR="00832091">
        <w:rPr>
          <w:rFonts w:cs="Times New Roman"/>
          <w:szCs w:val="24"/>
        </w:rPr>
        <w:t>,</w:t>
      </w:r>
      <w:r w:rsidR="00832091">
        <w:rPr>
          <w:rStyle w:val="Refdenotaderodap"/>
          <w:rFonts w:cs="Times New Roman"/>
          <w:szCs w:val="24"/>
        </w:rPr>
        <w:footnoteReference w:id="5"/>
      </w:r>
      <w:r w:rsidRPr="006213C4">
        <w:rPr>
          <w:rFonts w:cs="Times New Roman"/>
          <w:szCs w:val="24"/>
        </w:rPr>
        <w:t xml:space="preserve"> defendia o gozo vitalício da propriedade literária</w:t>
      </w:r>
      <w:r w:rsidR="00D30702">
        <w:rPr>
          <w:rFonts w:cs="Times New Roman"/>
          <w:szCs w:val="24"/>
        </w:rPr>
        <w:t xml:space="preserve"> </w:t>
      </w:r>
      <w:r w:rsidRPr="006213C4">
        <w:rPr>
          <w:rFonts w:cs="Times New Roman"/>
          <w:szCs w:val="24"/>
        </w:rPr>
        <w:t>e estendia p</w:t>
      </w:r>
      <w:r w:rsidR="00D30702">
        <w:rPr>
          <w:rFonts w:cs="Times New Roman"/>
          <w:szCs w:val="24"/>
        </w:rPr>
        <w:t>a</w:t>
      </w:r>
      <w:r w:rsidRPr="006213C4">
        <w:rPr>
          <w:rFonts w:cs="Times New Roman"/>
          <w:szCs w:val="24"/>
        </w:rPr>
        <w:t>r</w:t>
      </w:r>
      <w:r w:rsidR="00D30702">
        <w:rPr>
          <w:rFonts w:cs="Times New Roman"/>
          <w:szCs w:val="24"/>
        </w:rPr>
        <w:t>a</w:t>
      </w:r>
      <w:r w:rsidRPr="006213C4">
        <w:rPr>
          <w:rFonts w:cs="Times New Roman"/>
          <w:szCs w:val="24"/>
        </w:rPr>
        <w:t xml:space="preserve"> trinta anos </w:t>
      </w:r>
      <w:r w:rsidR="00D30702">
        <w:rPr>
          <w:rFonts w:cs="Times New Roman"/>
          <w:szCs w:val="24"/>
        </w:rPr>
        <w:t>o</w:t>
      </w:r>
      <w:r w:rsidR="00D30702" w:rsidRPr="006213C4">
        <w:rPr>
          <w:rFonts w:cs="Times New Roman"/>
          <w:szCs w:val="24"/>
        </w:rPr>
        <w:t xml:space="preserve"> prazo </w:t>
      </w:r>
      <w:r w:rsidR="00D30702">
        <w:rPr>
          <w:rFonts w:cs="Times New Roman"/>
          <w:szCs w:val="24"/>
        </w:rPr>
        <w:t>de gozo pel</w:t>
      </w:r>
      <w:r w:rsidRPr="006213C4">
        <w:rPr>
          <w:rFonts w:cs="Times New Roman"/>
          <w:szCs w:val="24"/>
        </w:rPr>
        <w:t xml:space="preserve">os herdeiros ou </w:t>
      </w:r>
      <w:r w:rsidR="00D30702">
        <w:rPr>
          <w:rFonts w:cs="Times New Roman"/>
          <w:szCs w:val="24"/>
        </w:rPr>
        <w:t xml:space="preserve">pelos </w:t>
      </w:r>
      <w:r w:rsidRPr="006213C4">
        <w:rPr>
          <w:rFonts w:cs="Times New Roman"/>
          <w:szCs w:val="24"/>
        </w:rPr>
        <w:t>editores representantes dos autores</w:t>
      </w:r>
      <w:r w:rsidR="00D30702">
        <w:rPr>
          <w:rFonts w:cs="Times New Roman"/>
          <w:szCs w:val="24"/>
        </w:rPr>
        <w:t xml:space="preserve"> </w:t>
      </w:r>
      <w:r w:rsidR="00952F9B">
        <w:rPr>
          <w:rFonts w:cs="Times New Roman"/>
          <w:szCs w:val="24"/>
        </w:rPr>
        <w:t>mor</w:t>
      </w:r>
      <w:r w:rsidR="00D30702">
        <w:rPr>
          <w:rFonts w:cs="Times New Roman"/>
          <w:szCs w:val="24"/>
        </w:rPr>
        <w:t>tos</w:t>
      </w:r>
      <w:r w:rsidRPr="006213C4">
        <w:rPr>
          <w:rFonts w:cs="Times New Roman"/>
          <w:szCs w:val="24"/>
        </w:rPr>
        <w:t>.</w:t>
      </w:r>
      <w:r w:rsidR="00952F9B">
        <w:rPr>
          <w:rFonts w:cs="Times New Roman"/>
          <w:szCs w:val="24"/>
        </w:rPr>
        <w:t xml:space="preserve"> O</w:t>
      </w:r>
      <w:r w:rsidRPr="006213C4">
        <w:rPr>
          <w:rFonts w:cs="Times New Roman"/>
          <w:szCs w:val="24"/>
        </w:rPr>
        <w:t xml:space="preserve"> projeto defendia direitos iguais para estrangeiros que publicassem em português no Brasil, além de recomendar um acordo literário entre Brasil e Portugal </w:t>
      </w:r>
      <w:r w:rsidR="00D30702">
        <w:rPr>
          <w:rFonts w:cs="Times New Roman"/>
          <w:szCs w:val="24"/>
        </w:rPr>
        <w:t>para</w:t>
      </w:r>
      <w:r w:rsidRPr="006213C4">
        <w:rPr>
          <w:rFonts w:cs="Times New Roman"/>
          <w:szCs w:val="24"/>
        </w:rPr>
        <w:t xml:space="preserve"> combater contrafações existentes no mercado. Estas transgressões afrontavam principalmente os interesses de autores portugueses, uma vez que o mercado brasileiro era bastante visado por negociantes. Na </w:t>
      </w:r>
      <w:r w:rsidRPr="006213C4">
        <w:rPr>
          <w:rFonts w:cs="Times New Roman"/>
          <w:i/>
          <w:szCs w:val="24"/>
        </w:rPr>
        <w:t>Revista Lisbonense</w:t>
      </w:r>
      <w:r w:rsidRPr="006213C4">
        <w:rPr>
          <w:rFonts w:cs="Times New Roman"/>
          <w:szCs w:val="24"/>
        </w:rPr>
        <w:t>, em 1847, comentava-se a questão</w:t>
      </w:r>
      <w:r w:rsidR="00175856">
        <w:rPr>
          <w:rFonts w:cs="Times New Roman"/>
          <w:szCs w:val="24"/>
        </w:rPr>
        <w:t xml:space="preserve">, </w:t>
      </w:r>
      <w:r w:rsidR="00175856">
        <w:rPr>
          <w:rFonts w:cs="Times New Roman"/>
          <w:szCs w:val="24"/>
        </w:rPr>
        <w:lastRenderedPageBreak/>
        <w:t xml:space="preserve">ressaltando que as afrontas </w:t>
      </w:r>
      <w:r w:rsidR="00F84ADB" w:rsidRPr="00952F9B">
        <w:rPr>
          <w:rFonts w:cs="Times New Roman"/>
          <w:szCs w:val="24"/>
        </w:rPr>
        <w:t xml:space="preserve">contra </w:t>
      </w:r>
      <w:r w:rsidR="00175856" w:rsidRPr="00952F9B">
        <w:rPr>
          <w:rFonts w:cs="Times New Roman"/>
          <w:szCs w:val="24"/>
        </w:rPr>
        <w:t>os direitos de autores e editores portugueses avançava</w:t>
      </w:r>
      <w:r w:rsidR="00F84ADB" w:rsidRPr="00952F9B">
        <w:rPr>
          <w:rFonts w:cs="Times New Roman"/>
          <w:szCs w:val="24"/>
        </w:rPr>
        <w:t>m</w:t>
      </w:r>
      <w:r w:rsidR="00952F9B" w:rsidRPr="00952F9B">
        <w:rPr>
          <w:rFonts w:cs="Times New Roman"/>
          <w:szCs w:val="24"/>
        </w:rPr>
        <w:t xml:space="preserve"> sobre coleções inteiras</w:t>
      </w:r>
      <w:r w:rsidR="00832091">
        <w:rPr>
          <w:rStyle w:val="Refdenotaderodap"/>
          <w:rFonts w:cs="Times New Roman"/>
          <w:szCs w:val="24"/>
        </w:rPr>
        <w:footnoteReference w:id="6"/>
      </w:r>
      <w:r w:rsidR="00F84ADB" w:rsidRPr="00952F9B">
        <w:rPr>
          <w:rFonts w:cs="Times New Roman"/>
          <w:szCs w:val="24"/>
        </w:rPr>
        <w:t>.</w:t>
      </w:r>
      <w:r w:rsidR="00952F9B">
        <w:rPr>
          <w:rFonts w:cs="Times New Roman"/>
          <w:szCs w:val="24"/>
        </w:rPr>
        <w:t xml:space="preserve"> </w:t>
      </w:r>
      <w:r w:rsidRPr="006213C4">
        <w:rPr>
          <w:rFonts w:cs="Times New Roman"/>
          <w:szCs w:val="24"/>
        </w:rPr>
        <w:t xml:space="preserve">No entanto, se as contrafações brasileiras eram prejudiciais aos portugueses, </w:t>
      </w:r>
      <w:r w:rsidR="00F84ADB">
        <w:rPr>
          <w:rFonts w:cs="Times New Roman"/>
          <w:szCs w:val="24"/>
        </w:rPr>
        <w:t xml:space="preserve">o deputado </w:t>
      </w:r>
      <w:r w:rsidRPr="006213C4">
        <w:rPr>
          <w:rFonts w:cs="Times New Roman"/>
          <w:szCs w:val="24"/>
        </w:rPr>
        <w:t xml:space="preserve">argumentava que a prática seria perniciosa também </w:t>
      </w:r>
      <w:r w:rsidR="00F84ADB">
        <w:rPr>
          <w:rFonts w:cs="Times New Roman"/>
          <w:szCs w:val="24"/>
        </w:rPr>
        <w:t>par</w:t>
      </w:r>
      <w:r w:rsidRPr="006213C4">
        <w:rPr>
          <w:rFonts w:cs="Times New Roman"/>
          <w:szCs w:val="24"/>
        </w:rPr>
        <w:t>a</w:t>
      </w:r>
      <w:r w:rsidR="00F84ADB">
        <w:rPr>
          <w:rFonts w:cs="Times New Roman"/>
          <w:szCs w:val="24"/>
        </w:rPr>
        <w:t xml:space="preserve"> </w:t>
      </w:r>
      <w:r w:rsidRPr="006213C4">
        <w:rPr>
          <w:rFonts w:cs="Times New Roman"/>
          <w:szCs w:val="24"/>
        </w:rPr>
        <w:t>o desenvolvimento das Letras no Brasil, uma vez que o acesso facilitado às obras estrangeiras</w:t>
      </w:r>
      <w:r w:rsidR="00F84ADB">
        <w:rPr>
          <w:rFonts w:cs="Times New Roman"/>
          <w:szCs w:val="24"/>
        </w:rPr>
        <w:t xml:space="preserve"> </w:t>
      </w:r>
      <w:r w:rsidRPr="006213C4">
        <w:rPr>
          <w:rFonts w:cs="Times New Roman"/>
          <w:szCs w:val="24"/>
        </w:rPr>
        <w:t>resultava num tropeço à p</w:t>
      </w:r>
      <w:r w:rsidR="00F803BC">
        <w:rPr>
          <w:rFonts w:cs="Times New Roman"/>
          <w:szCs w:val="24"/>
        </w:rPr>
        <w:t>ublicação de autores nacionais.</w:t>
      </w:r>
    </w:p>
    <w:p w:rsidR="00404FB6" w:rsidRPr="006213C4" w:rsidRDefault="00404FB6" w:rsidP="005651A7">
      <w:pPr>
        <w:spacing w:afterLines="40" w:line="480" w:lineRule="auto"/>
        <w:ind w:firstLine="708"/>
        <w:rPr>
          <w:rFonts w:cs="Times New Roman"/>
          <w:szCs w:val="24"/>
        </w:rPr>
      </w:pPr>
      <w:r w:rsidRPr="006213C4">
        <w:rPr>
          <w:rFonts w:cs="Times New Roman"/>
          <w:szCs w:val="24"/>
        </w:rPr>
        <w:t>O projeto de Guimarães tratava também d</w:t>
      </w:r>
      <w:r w:rsidR="00952F9B">
        <w:rPr>
          <w:rFonts w:cs="Times New Roman"/>
          <w:szCs w:val="24"/>
        </w:rPr>
        <w:t>as</w:t>
      </w:r>
      <w:r w:rsidRPr="006213C4">
        <w:rPr>
          <w:rFonts w:cs="Times New Roman"/>
          <w:szCs w:val="24"/>
        </w:rPr>
        <w:t xml:space="preserve"> condições para que herdeiros e editores pudessem gozar dos direitos após a morte do autor e procurava definir as formas de registro que garantissem aqueles direitos. Outra contribuição importante no domínio da discussão sobre os direitos de autores foi </w:t>
      </w:r>
      <w:proofErr w:type="gramStart"/>
      <w:r w:rsidRPr="006213C4">
        <w:rPr>
          <w:rFonts w:cs="Times New Roman"/>
          <w:szCs w:val="24"/>
        </w:rPr>
        <w:t>a</w:t>
      </w:r>
      <w:proofErr w:type="gramEnd"/>
      <w:r w:rsidRPr="006213C4">
        <w:rPr>
          <w:rFonts w:cs="Times New Roman"/>
          <w:szCs w:val="24"/>
        </w:rPr>
        <w:t xml:space="preserve"> indicação de práticas que deveriam ser consideradas como contrafação no âmbito das produções intelectuais no Brasil. No artigo 3º do projeto, Guimarães inclu</w:t>
      </w:r>
      <w:r w:rsidR="00F84ADB">
        <w:rPr>
          <w:rFonts w:cs="Times New Roman"/>
          <w:szCs w:val="24"/>
        </w:rPr>
        <w:t>iu</w:t>
      </w:r>
      <w:r w:rsidRPr="006213C4">
        <w:rPr>
          <w:rFonts w:cs="Times New Roman"/>
          <w:szCs w:val="24"/>
        </w:rPr>
        <w:t xml:space="preserve"> as ações comerciais que faziam circular no mercado brasileiro os livros contrafeitos em outros países e a impressão e divulgação de cartas particulares sobre assuntos literários ou científicos, resultantes de inven</w:t>
      </w:r>
      <w:r w:rsidR="00F803BC">
        <w:rPr>
          <w:rFonts w:cs="Times New Roman"/>
          <w:szCs w:val="24"/>
        </w:rPr>
        <w:t>ção, como ações de contrafação.</w:t>
      </w:r>
    </w:p>
    <w:p w:rsidR="00F84ADB" w:rsidRDefault="00404FB6" w:rsidP="005651A7">
      <w:pPr>
        <w:spacing w:afterLines="40" w:line="480" w:lineRule="auto"/>
        <w:ind w:firstLine="851"/>
        <w:rPr>
          <w:rFonts w:cs="Times New Roman"/>
          <w:szCs w:val="24"/>
        </w:rPr>
      </w:pPr>
      <w:r w:rsidRPr="006213C4">
        <w:rPr>
          <w:rFonts w:cs="Times New Roman"/>
          <w:szCs w:val="24"/>
        </w:rPr>
        <w:t xml:space="preserve">A designação era também estendida à reimpressão </w:t>
      </w:r>
      <w:r w:rsidR="00F84ADB">
        <w:rPr>
          <w:rFonts w:cs="Times New Roman"/>
          <w:szCs w:val="24"/>
        </w:rPr>
        <w:t xml:space="preserve">não autorizada </w:t>
      </w:r>
      <w:r w:rsidRPr="006213C4">
        <w:rPr>
          <w:rFonts w:cs="Times New Roman"/>
          <w:szCs w:val="24"/>
        </w:rPr>
        <w:t xml:space="preserve">de obras alheias, bem como </w:t>
      </w:r>
      <w:r w:rsidR="00F84ADB">
        <w:rPr>
          <w:rFonts w:cs="Times New Roman"/>
          <w:szCs w:val="24"/>
        </w:rPr>
        <w:t>à</w:t>
      </w:r>
      <w:r w:rsidRPr="006213C4">
        <w:rPr>
          <w:rFonts w:cs="Times New Roman"/>
          <w:szCs w:val="24"/>
        </w:rPr>
        <w:t xml:space="preserve"> divulgação impressa de sermões, discursos, aulas e </w:t>
      </w:r>
      <w:r w:rsidR="000A0EA2">
        <w:rPr>
          <w:rFonts w:cs="Times New Roman"/>
          <w:szCs w:val="24"/>
        </w:rPr>
        <w:t xml:space="preserve">outros </w:t>
      </w:r>
      <w:r w:rsidRPr="006213C4">
        <w:rPr>
          <w:rFonts w:cs="Times New Roman"/>
          <w:szCs w:val="24"/>
        </w:rPr>
        <w:t>tipo</w:t>
      </w:r>
      <w:r w:rsidR="000A0EA2">
        <w:rPr>
          <w:rFonts w:cs="Times New Roman"/>
          <w:szCs w:val="24"/>
        </w:rPr>
        <w:t>s</w:t>
      </w:r>
      <w:r w:rsidRPr="006213C4">
        <w:rPr>
          <w:rFonts w:cs="Times New Roman"/>
          <w:szCs w:val="24"/>
        </w:rPr>
        <w:t xml:space="preserve"> de comunicaç</w:t>
      </w:r>
      <w:r w:rsidR="000A0EA2">
        <w:rPr>
          <w:rFonts w:cs="Times New Roman"/>
          <w:szCs w:val="24"/>
        </w:rPr>
        <w:t>ões</w:t>
      </w:r>
      <w:r w:rsidRPr="006213C4">
        <w:rPr>
          <w:rFonts w:cs="Times New Roman"/>
          <w:szCs w:val="24"/>
        </w:rPr>
        <w:t xml:space="preserve"> sem a</w:t>
      </w:r>
      <w:r w:rsidR="00F84ADB">
        <w:rPr>
          <w:rFonts w:cs="Times New Roman"/>
          <w:szCs w:val="24"/>
        </w:rPr>
        <w:t>nuência</w:t>
      </w:r>
      <w:r w:rsidRPr="006213C4">
        <w:rPr>
          <w:rFonts w:cs="Times New Roman"/>
          <w:szCs w:val="24"/>
        </w:rPr>
        <w:t xml:space="preserve"> do autor</w:t>
      </w:r>
      <w:r w:rsidR="005A7074">
        <w:rPr>
          <w:rFonts w:cs="Times New Roman"/>
          <w:szCs w:val="24"/>
        </w:rPr>
        <w:t>.</w:t>
      </w:r>
      <w:r w:rsidRPr="006213C4">
        <w:rPr>
          <w:rFonts w:cs="Times New Roman"/>
          <w:szCs w:val="24"/>
        </w:rPr>
        <w:t xml:space="preserve"> </w:t>
      </w:r>
      <w:r w:rsidR="000A0EA2">
        <w:rPr>
          <w:rFonts w:cs="Times New Roman"/>
          <w:szCs w:val="24"/>
        </w:rPr>
        <w:t>Usos</w:t>
      </w:r>
      <w:r w:rsidRPr="006213C4">
        <w:rPr>
          <w:rFonts w:cs="Times New Roman"/>
          <w:szCs w:val="24"/>
        </w:rPr>
        <w:t xml:space="preserve"> não autorizados de trechos de obras alheias </w:t>
      </w:r>
      <w:r w:rsidR="000A0EA2">
        <w:rPr>
          <w:rFonts w:cs="Times New Roman"/>
          <w:szCs w:val="24"/>
        </w:rPr>
        <w:t>ou</w:t>
      </w:r>
      <w:r w:rsidRPr="006213C4">
        <w:rPr>
          <w:rFonts w:cs="Times New Roman"/>
          <w:szCs w:val="24"/>
        </w:rPr>
        <w:t xml:space="preserve"> de </w:t>
      </w:r>
      <w:r w:rsidR="00F84ADB" w:rsidRPr="006213C4">
        <w:rPr>
          <w:rFonts w:cs="Times New Roman"/>
          <w:szCs w:val="24"/>
        </w:rPr>
        <w:t>extratos</w:t>
      </w:r>
      <w:r w:rsidRPr="006213C4">
        <w:rPr>
          <w:rFonts w:cs="Times New Roman"/>
          <w:szCs w:val="24"/>
        </w:rPr>
        <w:t xml:space="preserve"> sem autorização em jornais, revistas e qualquer publicação periódica também era</w:t>
      </w:r>
      <w:r w:rsidR="000A0EA2">
        <w:rPr>
          <w:rFonts w:cs="Times New Roman"/>
          <w:szCs w:val="24"/>
        </w:rPr>
        <w:t>m</w:t>
      </w:r>
      <w:r w:rsidRPr="006213C4">
        <w:rPr>
          <w:rFonts w:cs="Times New Roman"/>
          <w:szCs w:val="24"/>
        </w:rPr>
        <w:t xml:space="preserve"> qualificado</w:t>
      </w:r>
      <w:r w:rsidR="000A0EA2">
        <w:rPr>
          <w:rFonts w:cs="Times New Roman"/>
          <w:szCs w:val="24"/>
        </w:rPr>
        <w:t>s como contrafação.</w:t>
      </w:r>
    </w:p>
    <w:p w:rsidR="000A0EA2" w:rsidRDefault="00404FB6" w:rsidP="005651A7">
      <w:pPr>
        <w:spacing w:afterLines="40" w:line="480" w:lineRule="auto"/>
        <w:ind w:firstLine="851"/>
        <w:rPr>
          <w:rFonts w:cs="Times New Roman"/>
          <w:szCs w:val="24"/>
        </w:rPr>
      </w:pPr>
      <w:r w:rsidRPr="006213C4">
        <w:rPr>
          <w:rFonts w:cs="Times New Roman"/>
          <w:szCs w:val="24"/>
        </w:rPr>
        <w:t xml:space="preserve">Apesar de não ter resultado numa efetiva regulação das práticas literárias, o projeto de Aprígio Guimarães colocou em cena a discussão </w:t>
      </w:r>
      <w:r w:rsidR="00F84ADB">
        <w:rPr>
          <w:rFonts w:cs="Times New Roman"/>
          <w:szCs w:val="24"/>
        </w:rPr>
        <w:t xml:space="preserve">do problema </w:t>
      </w:r>
      <w:r w:rsidRPr="006213C4">
        <w:rPr>
          <w:rFonts w:cs="Times New Roman"/>
          <w:szCs w:val="24"/>
        </w:rPr>
        <w:t xml:space="preserve">de forma sistematizada e alimentou o debate sobre os direitos autorais. </w:t>
      </w:r>
      <w:r w:rsidR="00F84ADB">
        <w:rPr>
          <w:rFonts w:cs="Times New Roman"/>
          <w:szCs w:val="24"/>
        </w:rPr>
        <w:t>Posteriormente, muito dos que</w:t>
      </w:r>
      <w:r w:rsidRPr="006213C4">
        <w:rPr>
          <w:rFonts w:cs="Times New Roman"/>
          <w:szCs w:val="24"/>
        </w:rPr>
        <w:t xml:space="preserve"> voltaram ao tema na esfera legislativa fizeram referência a seu projeto e sua justificação.</w:t>
      </w:r>
      <w:r w:rsidR="000A0EA2">
        <w:rPr>
          <w:rFonts w:cs="Times New Roman"/>
          <w:szCs w:val="24"/>
        </w:rPr>
        <w:t xml:space="preserve"> </w:t>
      </w:r>
      <w:r w:rsidR="00F84ADB">
        <w:rPr>
          <w:rFonts w:cs="Times New Roman"/>
          <w:szCs w:val="24"/>
        </w:rPr>
        <w:t>N</w:t>
      </w:r>
      <w:r w:rsidRPr="006213C4">
        <w:rPr>
          <w:rFonts w:cs="Times New Roman"/>
          <w:szCs w:val="24"/>
        </w:rPr>
        <w:t xml:space="preserve">a opinião de colegas </w:t>
      </w:r>
      <w:r w:rsidR="00BC620D">
        <w:rPr>
          <w:rFonts w:cs="Times New Roman"/>
          <w:szCs w:val="24"/>
        </w:rPr>
        <w:t xml:space="preserve">deputados </w:t>
      </w:r>
      <w:r w:rsidRPr="006213C4">
        <w:rPr>
          <w:rFonts w:cs="Times New Roman"/>
          <w:szCs w:val="24"/>
        </w:rPr>
        <w:t xml:space="preserve">e da imprensa, </w:t>
      </w:r>
      <w:r w:rsidR="00BC620D">
        <w:rPr>
          <w:rFonts w:cs="Times New Roman"/>
          <w:szCs w:val="24"/>
        </w:rPr>
        <w:t xml:space="preserve">seu projeto </w:t>
      </w:r>
      <w:r w:rsidRPr="006213C4">
        <w:rPr>
          <w:rFonts w:cs="Times New Roman"/>
          <w:szCs w:val="24"/>
        </w:rPr>
        <w:t xml:space="preserve">foi utilizado como base no ano seguinte por outro deputado, Bernardo Avelino Gavião Peixoto, deputado por São </w:t>
      </w:r>
      <w:r w:rsidR="000A0EA2">
        <w:rPr>
          <w:rFonts w:cs="Times New Roman"/>
          <w:szCs w:val="24"/>
        </w:rPr>
        <w:t>Paulo.</w:t>
      </w:r>
    </w:p>
    <w:p w:rsidR="00404FB6" w:rsidRPr="006213C4" w:rsidRDefault="00404FB6" w:rsidP="005651A7">
      <w:pPr>
        <w:spacing w:afterLines="40" w:line="480" w:lineRule="auto"/>
        <w:ind w:firstLine="851"/>
        <w:rPr>
          <w:rFonts w:cs="Times New Roman"/>
          <w:szCs w:val="24"/>
        </w:rPr>
      </w:pPr>
      <w:r w:rsidRPr="00E33D3A">
        <w:rPr>
          <w:rFonts w:cs="Times New Roman"/>
          <w:szCs w:val="24"/>
        </w:rPr>
        <w:t xml:space="preserve">Peixoto discutiu, em 1857, o projeto de uma lei que buscava garantir o gozo dos direitos autorais aos escritores </w:t>
      </w:r>
      <w:r w:rsidR="00BC620D">
        <w:rPr>
          <w:rFonts w:cs="Times New Roman"/>
          <w:szCs w:val="24"/>
        </w:rPr>
        <w:t>brasileiro</w:t>
      </w:r>
      <w:r w:rsidRPr="00E33D3A">
        <w:rPr>
          <w:rFonts w:cs="Times New Roman"/>
          <w:szCs w:val="24"/>
        </w:rPr>
        <w:t>s. O deputado argumentava</w:t>
      </w:r>
      <w:r w:rsidRPr="006213C4">
        <w:rPr>
          <w:rFonts w:cs="Times New Roman"/>
          <w:szCs w:val="24"/>
        </w:rPr>
        <w:t xml:space="preserve"> que até aquele momento, houvera </w:t>
      </w:r>
      <w:r w:rsidRPr="006213C4">
        <w:rPr>
          <w:rFonts w:cs="Times New Roman"/>
          <w:szCs w:val="24"/>
        </w:rPr>
        <w:lastRenderedPageBreak/>
        <w:t>tônica na defesa apenas do retorno econômico aos empreendimentos literários, como qualifica, por exemplo, as companhias teatrais</w:t>
      </w:r>
      <w:r w:rsidR="00A91A9A">
        <w:rPr>
          <w:rFonts w:cs="Times New Roman"/>
          <w:szCs w:val="24"/>
        </w:rPr>
        <w:t>.</w:t>
      </w:r>
      <w:proofErr w:type="gramStart"/>
      <w:r w:rsidR="00A91A9A">
        <w:rPr>
          <w:rStyle w:val="Refdenotaderodap"/>
          <w:rFonts w:cs="Times New Roman"/>
          <w:szCs w:val="24"/>
        </w:rPr>
        <w:footnoteReference w:id="7"/>
      </w:r>
      <w:proofErr w:type="gramEnd"/>
    </w:p>
    <w:p w:rsidR="00404FB6" w:rsidRPr="006213C4" w:rsidRDefault="00404FB6" w:rsidP="005651A7">
      <w:pPr>
        <w:spacing w:afterLines="40" w:line="480" w:lineRule="auto"/>
        <w:ind w:firstLine="851"/>
        <w:rPr>
          <w:rFonts w:cs="Times New Roman"/>
          <w:sz w:val="22"/>
        </w:rPr>
      </w:pPr>
      <w:r w:rsidRPr="006213C4">
        <w:rPr>
          <w:rFonts w:cs="Times New Roman"/>
          <w:szCs w:val="24"/>
        </w:rPr>
        <w:t xml:space="preserve">Considerando o teatro como um importante lugar de consumo literário, defendia uma nova interpretação do fazer literário, por exemplo, </w:t>
      </w:r>
      <w:r w:rsidR="00BC620D">
        <w:rPr>
          <w:rFonts w:cs="Times New Roman"/>
          <w:szCs w:val="24"/>
        </w:rPr>
        <w:t xml:space="preserve">propondo </w:t>
      </w:r>
      <w:r w:rsidRPr="006213C4">
        <w:rPr>
          <w:rFonts w:cs="Times New Roman"/>
          <w:szCs w:val="24"/>
        </w:rPr>
        <w:t xml:space="preserve">a necessidade de registro comercial das companhias teatrais </w:t>
      </w:r>
      <w:r w:rsidR="00BC620D">
        <w:rPr>
          <w:rFonts w:cs="Times New Roman"/>
          <w:szCs w:val="24"/>
        </w:rPr>
        <w:t>como forma de</w:t>
      </w:r>
      <w:r w:rsidRPr="006213C4">
        <w:rPr>
          <w:rFonts w:cs="Times New Roman"/>
          <w:szCs w:val="24"/>
        </w:rPr>
        <w:t xml:space="preserve"> garantia de sua estabilidade econômica, além de mudanças na forma de pagamento de direitos aos autores de peças teatrais. Em seu discurso, o deputado apresenta razões que </w:t>
      </w:r>
      <w:r w:rsidR="00BC620D">
        <w:rPr>
          <w:rFonts w:cs="Times New Roman"/>
          <w:szCs w:val="24"/>
        </w:rPr>
        <w:t xml:space="preserve">o levavam a compreender o </w:t>
      </w:r>
      <w:r w:rsidRPr="006213C4">
        <w:rPr>
          <w:rFonts w:cs="Times New Roman"/>
          <w:szCs w:val="24"/>
        </w:rPr>
        <w:t xml:space="preserve">costume </w:t>
      </w:r>
      <w:r w:rsidR="00BC620D">
        <w:rPr>
          <w:rFonts w:cs="Times New Roman"/>
          <w:szCs w:val="24"/>
        </w:rPr>
        <w:t>vigente, de destinar a renda de apresentações pontuais como pagamento aos autores,</w:t>
      </w:r>
      <w:r w:rsidRPr="006213C4">
        <w:rPr>
          <w:rFonts w:cs="Times New Roman"/>
          <w:szCs w:val="24"/>
        </w:rPr>
        <w:t xml:space="preserve"> </w:t>
      </w:r>
      <w:r w:rsidR="00BC620D">
        <w:rPr>
          <w:rFonts w:cs="Times New Roman"/>
          <w:szCs w:val="24"/>
        </w:rPr>
        <w:t xml:space="preserve">como prejudicial </w:t>
      </w:r>
      <w:r w:rsidRPr="006213C4">
        <w:rPr>
          <w:rFonts w:cs="Times New Roman"/>
          <w:szCs w:val="24"/>
        </w:rPr>
        <w:t>ao teatro brasileiro</w:t>
      </w:r>
      <w:r w:rsidR="00BC620D">
        <w:rPr>
          <w:rFonts w:cs="Times New Roman"/>
          <w:szCs w:val="24"/>
        </w:rPr>
        <w:t>,</w:t>
      </w:r>
      <w:r w:rsidRPr="006213C4">
        <w:rPr>
          <w:rFonts w:cs="Times New Roman"/>
          <w:szCs w:val="24"/>
        </w:rPr>
        <w:t xml:space="preserve"> aos agentes envolvidos e, mais ainda, aos escritores. O deputado argumentava que</w:t>
      </w:r>
    </w:p>
    <w:p w:rsidR="00404FB6" w:rsidRPr="006213C4" w:rsidRDefault="00404FB6" w:rsidP="005651A7">
      <w:pPr>
        <w:spacing w:afterLines="40" w:line="240" w:lineRule="auto"/>
        <w:ind w:firstLine="851"/>
        <w:rPr>
          <w:rFonts w:cs="Times New Roman"/>
          <w:sz w:val="22"/>
        </w:rPr>
      </w:pPr>
    </w:p>
    <w:p w:rsidR="00404FB6" w:rsidRPr="006213C4" w:rsidRDefault="00404FB6" w:rsidP="005651A7">
      <w:pPr>
        <w:spacing w:afterLines="40" w:line="240" w:lineRule="auto"/>
        <w:ind w:left="1985"/>
        <w:rPr>
          <w:rFonts w:cs="Times New Roman"/>
          <w:sz w:val="22"/>
        </w:rPr>
      </w:pPr>
      <w:r w:rsidRPr="006213C4">
        <w:rPr>
          <w:rFonts w:cs="Times New Roman"/>
          <w:sz w:val="22"/>
        </w:rPr>
        <w:t>(...) sendo o teatro (...) geralmente compreendido como a fórmula literária mais ao gosto do público, mais consentânea com a natureza dos povos, e por isso mesmo a mais influente em seu espírito</w:t>
      </w:r>
      <w:r w:rsidR="00BC620D">
        <w:rPr>
          <w:rFonts w:cs="Times New Roman"/>
          <w:sz w:val="22"/>
        </w:rPr>
        <w:t xml:space="preserve"> (...)</w:t>
      </w:r>
      <w:r w:rsidRPr="006213C4">
        <w:rPr>
          <w:rFonts w:cs="Times New Roman"/>
          <w:sz w:val="22"/>
        </w:rPr>
        <w:t>; sendo igualmente verdade que os costumes de um povo modelam-se e formam-se segundo suas instituições; parece-me evidente que empregar todos os meios possíveis para a boa organização dos teatros, é menos uma superabundância de cuidado que um rigoroso dever. Por isso no projeto que apresento sobre esta matéria obrigo as empres</w:t>
      </w:r>
      <w:r w:rsidRPr="00E33D3A">
        <w:rPr>
          <w:rFonts w:cs="Times New Roman"/>
          <w:sz w:val="22"/>
        </w:rPr>
        <w:t>as e direções teatrais a ter uma escrituração mercantil registrada no tribunal do comércio e a outras obrigações mais, em benefício dos escritores dramáticos, e animar as produções brasileiras.</w:t>
      </w:r>
      <w:proofErr w:type="gramStart"/>
      <w:r w:rsidR="00A91A9A">
        <w:rPr>
          <w:rStyle w:val="Refdenotaderodap"/>
          <w:rFonts w:cs="Times New Roman"/>
          <w:sz w:val="22"/>
        </w:rPr>
        <w:footnoteReference w:id="8"/>
      </w:r>
      <w:proofErr w:type="gramEnd"/>
    </w:p>
    <w:p w:rsidR="00404FB6" w:rsidRPr="006213C4" w:rsidRDefault="00404FB6" w:rsidP="005651A7">
      <w:pPr>
        <w:spacing w:afterLines="40" w:line="240" w:lineRule="auto"/>
        <w:ind w:left="1985"/>
        <w:rPr>
          <w:rFonts w:cs="Times New Roman"/>
          <w:sz w:val="22"/>
        </w:rPr>
      </w:pPr>
    </w:p>
    <w:p w:rsidR="00404FB6" w:rsidRPr="006213C4" w:rsidRDefault="00404FB6" w:rsidP="005651A7">
      <w:pPr>
        <w:spacing w:afterLines="40" w:line="240" w:lineRule="auto"/>
        <w:ind w:left="1985"/>
        <w:rPr>
          <w:rFonts w:cs="Times New Roman"/>
          <w:sz w:val="22"/>
        </w:rPr>
      </w:pPr>
    </w:p>
    <w:p w:rsidR="00404FB6" w:rsidRPr="006213C4" w:rsidRDefault="00BC620D" w:rsidP="005651A7">
      <w:pPr>
        <w:spacing w:afterLines="40" w:line="480" w:lineRule="auto"/>
        <w:ind w:firstLine="851"/>
        <w:rPr>
          <w:rFonts w:cs="Times New Roman"/>
          <w:szCs w:val="24"/>
        </w:rPr>
      </w:pPr>
      <w:r>
        <w:rPr>
          <w:rFonts w:cs="Times New Roman"/>
          <w:szCs w:val="24"/>
        </w:rPr>
        <w:t>Expondo uma</w:t>
      </w:r>
      <w:r w:rsidR="00404FB6" w:rsidRPr="006213C4">
        <w:rPr>
          <w:rFonts w:cs="Times New Roman"/>
          <w:szCs w:val="24"/>
        </w:rPr>
        <w:t xml:space="preserve"> compreensão do teatro que poderíamos qu</w:t>
      </w:r>
      <w:r>
        <w:rPr>
          <w:rFonts w:cs="Times New Roman"/>
          <w:szCs w:val="24"/>
        </w:rPr>
        <w:t>alificar de “civilizacional”</w:t>
      </w:r>
      <w:r w:rsidR="00404FB6" w:rsidRPr="006213C4">
        <w:rPr>
          <w:rFonts w:cs="Times New Roman"/>
          <w:szCs w:val="24"/>
        </w:rPr>
        <w:t>, Gavião Peixoto defendeu que a maneira de conduzir os negócios</w:t>
      </w:r>
      <w:r>
        <w:rPr>
          <w:rFonts w:cs="Times New Roman"/>
          <w:szCs w:val="24"/>
        </w:rPr>
        <w:t xml:space="preserve"> teatrais </w:t>
      </w:r>
      <w:r w:rsidR="00404FB6" w:rsidRPr="006213C4">
        <w:rPr>
          <w:rFonts w:cs="Times New Roman"/>
          <w:szCs w:val="24"/>
        </w:rPr>
        <w:t xml:space="preserve">deveria ser mais bem cuidada, uma vez que cumpririam uma função formativa. A atenção dispensada ao assunto tinha o objetivo de organizar uma atividade intelectual. Estabelecendo regras para o pagamento daqueles que criavam, pretendia Gavião Peixoto que novos costumes fossem produzidos entre empresários e autores, resultando na geração de peças </w:t>
      </w:r>
      <w:r>
        <w:rPr>
          <w:rFonts w:cs="Times New Roman"/>
          <w:szCs w:val="24"/>
        </w:rPr>
        <w:t xml:space="preserve">de </w:t>
      </w:r>
      <w:r w:rsidR="00404FB6" w:rsidRPr="006213C4">
        <w:rPr>
          <w:rFonts w:cs="Times New Roman"/>
          <w:szCs w:val="24"/>
        </w:rPr>
        <w:t>melho</w:t>
      </w:r>
      <w:r>
        <w:rPr>
          <w:rFonts w:cs="Times New Roman"/>
          <w:szCs w:val="24"/>
        </w:rPr>
        <w:t>r qualidade</w:t>
      </w:r>
      <w:r w:rsidR="00404FB6" w:rsidRPr="006213C4">
        <w:rPr>
          <w:rFonts w:cs="Times New Roman"/>
          <w:szCs w:val="24"/>
        </w:rPr>
        <w:t xml:space="preserve">. </w:t>
      </w:r>
      <w:r>
        <w:rPr>
          <w:rFonts w:cs="Times New Roman"/>
          <w:szCs w:val="24"/>
        </w:rPr>
        <w:t>O</w:t>
      </w:r>
      <w:r w:rsidR="00404FB6" w:rsidRPr="006213C4">
        <w:rPr>
          <w:rFonts w:cs="Times New Roman"/>
          <w:szCs w:val="24"/>
        </w:rPr>
        <w:t xml:space="preserve"> deputado aplicava certa lógica de mercado à produção teatral, uma vez que entendia que a melhor remuneração dos autores geraria melhores obras. Os empresários não empregariam seus recursos em peças arriscadas, com qualidade </w:t>
      </w:r>
      <w:r w:rsidR="00404FB6" w:rsidRPr="006213C4">
        <w:rPr>
          <w:rFonts w:cs="Times New Roman"/>
          <w:szCs w:val="24"/>
        </w:rPr>
        <w:lastRenderedPageBreak/>
        <w:t xml:space="preserve">questionável, e isso favoreceria o financiamento mais cauteloso que buscaria textos de melhor categoria. </w:t>
      </w:r>
    </w:p>
    <w:p w:rsidR="00404FB6" w:rsidRPr="006213C4" w:rsidRDefault="005D23AB" w:rsidP="005651A7">
      <w:pPr>
        <w:spacing w:afterLines="40" w:line="480" w:lineRule="auto"/>
        <w:ind w:firstLine="851"/>
        <w:rPr>
          <w:rFonts w:cs="Times New Roman"/>
          <w:szCs w:val="24"/>
        </w:rPr>
      </w:pPr>
      <w:r>
        <w:rPr>
          <w:rFonts w:cs="Times New Roman"/>
          <w:szCs w:val="24"/>
        </w:rPr>
        <w:t>A</w:t>
      </w:r>
      <w:r w:rsidR="00404FB6" w:rsidRPr="006213C4">
        <w:rPr>
          <w:rFonts w:cs="Times New Roman"/>
          <w:szCs w:val="24"/>
        </w:rPr>
        <w:t xml:space="preserve"> questão da subsistência dos escritores </w:t>
      </w:r>
      <w:r>
        <w:rPr>
          <w:rFonts w:cs="Times New Roman"/>
          <w:szCs w:val="24"/>
        </w:rPr>
        <w:t xml:space="preserve">também </w:t>
      </w:r>
      <w:r w:rsidR="00404FB6" w:rsidRPr="006213C4">
        <w:rPr>
          <w:rFonts w:cs="Times New Roman"/>
          <w:szCs w:val="24"/>
        </w:rPr>
        <w:t>estav</w:t>
      </w:r>
      <w:r>
        <w:rPr>
          <w:rFonts w:cs="Times New Roman"/>
          <w:szCs w:val="24"/>
        </w:rPr>
        <w:t>a</w:t>
      </w:r>
      <w:r w:rsidR="00404FB6" w:rsidRPr="006213C4">
        <w:rPr>
          <w:rFonts w:cs="Times New Roman"/>
          <w:szCs w:val="24"/>
        </w:rPr>
        <w:t xml:space="preserve"> presente em sua </w:t>
      </w:r>
      <w:r>
        <w:rPr>
          <w:rFonts w:cs="Times New Roman"/>
          <w:szCs w:val="24"/>
        </w:rPr>
        <w:t xml:space="preserve">fala. O deputado </w:t>
      </w:r>
      <w:r w:rsidR="00404FB6" w:rsidRPr="006213C4">
        <w:rPr>
          <w:rFonts w:cs="Times New Roman"/>
          <w:szCs w:val="24"/>
        </w:rPr>
        <w:t>consternava</w:t>
      </w:r>
      <w:r>
        <w:rPr>
          <w:rFonts w:cs="Times New Roman"/>
          <w:szCs w:val="24"/>
        </w:rPr>
        <w:t>-se</w:t>
      </w:r>
      <w:r w:rsidR="00404FB6" w:rsidRPr="006213C4">
        <w:rPr>
          <w:rFonts w:cs="Times New Roman"/>
          <w:szCs w:val="24"/>
        </w:rPr>
        <w:t xml:space="preserve"> com o fato de que os autores fica</w:t>
      </w:r>
      <w:r>
        <w:rPr>
          <w:rFonts w:cs="Times New Roman"/>
          <w:szCs w:val="24"/>
        </w:rPr>
        <w:t>sse</w:t>
      </w:r>
      <w:r w:rsidR="00404FB6" w:rsidRPr="006213C4">
        <w:rPr>
          <w:rFonts w:cs="Times New Roman"/>
          <w:szCs w:val="24"/>
        </w:rPr>
        <w:t xml:space="preserve">m impedidos de decidir sobre as obras que escreviam, em troca de </w:t>
      </w:r>
      <w:r>
        <w:rPr>
          <w:rFonts w:cs="Times New Roman"/>
          <w:szCs w:val="24"/>
        </w:rPr>
        <w:t xml:space="preserve">minguados </w:t>
      </w:r>
      <w:r w:rsidR="00404FB6" w:rsidRPr="006213C4">
        <w:rPr>
          <w:rFonts w:cs="Times New Roman"/>
          <w:szCs w:val="24"/>
        </w:rPr>
        <w:t>pagamentos. Era comum que transmitissem toda a propriedade sobre seus textos aos empr</w:t>
      </w:r>
      <w:r>
        <w:rPr>
          <w:rFonts w:cs="Times New Roman"/>
          <w:szCs w:val="24"/>
        </w:rPr>
        <w:t>esários, que</w:t>
      </w:r>
      <w:r w:rsidR="00404FB6" w:rsidRPr="006213C4">
        <w:rPr>
          <w:rFonts w:cs="Times New Roman"/>
          <w:szCs w:val="24"/>
        </w:rPr>
        <w:t xml:space="preserve"> ficavam livres para explorar a representação dos textos teatrais como bem entendessem. A questão se impunha com maior força no caso de dramas de qualidade questionável, pois segundo defendeu o deputado,</w:t>
      </w:r>
    </w:p>
    <w:p w:rsidR="00404FB6" w:rsidRPr="006213C4" w:rsidRDefault="00404FB6" w:rsidP="005651A7">
      <w:pPr>
        <w:spacing w:afterLines="40" w:line="240" w:lineRule="auto"/>
        <w:ind w:firstLine="851"/>
        <w:rPr>
          <w:rFonts w:cs="Times New Roman"/>
          <w:sz w:val="22"/>
        </w:rPr>
      </w:pPr>
    </w:p>
    <w:p w:rsidR="00404FB6" w:rsidRPr="006213C4" w:rsidRDefault="00404FB6" w:rsidP="005651A7">
      <w:pPr>
        <w:spacing w:afterLines="40" w:line="240" w:lineRule="auto"/>
        <w:ind w:left="1985"/>
        <w:rPr>
          <w:rFonts w:cs="Times New Roman"/>
          <w:sz w:val="22"/>
        </w:rPr>
      </w:pPr>
      <w:r w:rsidRPr="006213C4">
        <w:rPr>
          <w:rFonts w:cs="Times New Roman"/>
          <w:sz w:val="22"/>
        </w:rPr>
        <w:t xml:space="preserve">(...) uma peça para ser bem montada demanda despesas, e às vezes grandes despesas. (...) O empresário, iludido ou traído por sua ignorância ou boa fé aceita um drama desse gosto. Monta-o; desagrada a concorrência das duas primeiras noites (...), salvará possivelmente os gastos que tenha feito, mas nada lucrará, nem moralmente, porque seu teatro se desacredita, nem pecuniariamente, porque seu trabalho não foi recompensado. Aí resta a terceira noite do autor; aí tirará ele o que tirar, pouco importa; aí se abre o caminho à mediocridade, à ignorância, à especulação literária, ao </w:t>
      </w:r>
      <w:r w:rsidRPr="00E85249">
        <w:rPr>
          <w:rFonts w:cs="Times New Roman"/>
          <w:sz w:val="22"/>
        </w:rPr>
        <w:t>passo que as inteligências serviçais ficarão silenciosas, ou banidas</w:t>
      </w:r>
      <w:r w:rsidR="00E33D3A" w:rsidRPr="00E85249">
        <w:rPr>
          <w:rFonts w:cs="Times New Roman"/>
          <w:sz w:val="22"/>
        </w:rPr>
        <w:t>.</w:t>
      </w:r>
      <w:proofErr w:type="gramStart"/>
      <w:r w:rsidR="00A91A9A">
        <w:rPr>
          <w:rStyle w:val="Refdenotaderodap"/>
          <w:rFonts w:cs="Times New Roman"/>
          <w:sz w:val="22"/>
        </w:rPr>
        <w:footnoteReference w:id="9"/>
      </w:r>
      <w:proofErr w:type="gramEnd"/>
    </w:p>
    <w:p w:rsidR="00404FB6" w:rsidRDefault="00404FB6" w:rsidP="005651A7">
      <w:pPr>
        <w:spacing w:afterLines="40" w:line="240" w:lineRule="auto"/>
        <w:rPr>
          <w:rFonts w:cs="Times New Roman"/>
          <w:sz w:val="22"/>
        </w:rPr>
      </w:pPr>
    </w:p>
    <w:p w:rsidR="000A0EA2" w:rsidRPr="006213C4" w:rsidRDefault="000A0EA2" w:rsidP="005651A7">
      <w:pPr>
        <w:spacing w:afterLines="40" w:line="240" w:lineRule="auto"/>
        <w:rPr>
          <w:rFonts w:cs="Times New Roman"/>
          <w:sz w:val="22"/>
        </w:rPr>
      </w:pPr>
    </w:p>
    <w:p w:rsidR="000A0EA2" w:rsidRDefault="0073197A" w:rsidP="005651A7">
      <w:pPr>
        <w:spacing w:afterLines="40" w:line="480" w:lineRule="auto"/>
        <w:ind w:firstLine="851"/>
        <w:rPr>
          <w:rFonts w:cs="Times New Roman"/>
          <w:szCs w:val="24"/>
        </w:rPr>
      </w:pPr>
      <w:r>
        <w:rPr>
          <w:rFonts w:cs="Times New Roman"/>
          <w:szCs w:val="24"/>
        </w:rPr>
        <w:t>Textos ruins resultariam na desqualificação dos escritores bem como das companhias</w:t>
      </w:r>
      <w:r w:rsidR="00404FB6" w:rsidRPr="006213C4">
        <w:rPr>
          <w:rFonts w:cs="Times New Roman"/>
          <w:szCs w:val="24"/>
        </w:rPr>
        <w:t xml:space="preserve">. Por isso, </w:t>
      </w:r>
      <w:r w:rsidR="000A0EA2">
        <w:rPr>
          <w:rFonts w:cs="Times New Roman"/>
          <w:szCs w:val="24"/>
        </w:rPr>
        <w:t>considerava</w:t>
      </w:r>
      <w:r w:rsidR="00404FB6" w:rsidRPr="006213C4">
        <w:rPr>
          <w:rFonts w:cs="Times New Roman"/>
          <w:szCs w:val="24"/>
        </w:rPr>
        <w:t xml:space="preserve"> necessário garantir condições para a realização de bons investimentos literários; permitir que os autores </w:t>
      </w:r>
      <w:r>
        <w:rPr>
          <w:rFonts w:cs="Times New Roman"/>
          <w:szCs w:val="24"/>
        </w:rPr>
        <w:t xml:space="preserve">pudessem </w:t>
      </w:r>
      <w:r w:rsidR="00404FB6" w:rsidRPr="006213C4">
        <w:rPr>
          <w:rFonts w:cs="Times New Roman"/>
          <w:szCs w:val="24"/>
        </w:rPr>
        <w:t>cria</w:t>
      </w:r>
      <w:r>
        <w:rPr>
          <w:rFonts w:cs="Times New Roman"/>
          <w:szCs w:val="24"/>
        </w:rPr>
        <w:t xml:space="preserve">r </w:t>
      </w:r>
      <w:r w:rsidR="00404FB6" w:rsidRPr="006213C4">
        <w:rPr>
          <w:rFonts w:cs="Times New Roman"/>
          <w:szCs w:val="24"/>
        </w:rPr>
        <w:t xml:space="preserve">sem que lhes fosse necessário envolver-se em trabalhos menores </w:t>
      </w:r>
      <w:r>
        <w:rPr>
          <w:rFonts w:cs="Times New Roman"/>
          <w:szCs w:val="24"/>
        </w:rPr>
        <w:t>para</w:t>
      </w:r>
      <w:r w:rsidR="00404FB6" w:rsidRPr="006213C4">
        <w:rPr>
          <w:rFonts w:cs="Times New Roman"/>
          <w:szCs w:val="24"/>
        </w:rPr>
        <w:t xml:space="preserve"> garantir sua subsistência. No fundo, </w:t>
      </w:r>
      <w:r w:rsidR="000A0EA2">
        <w:rPr>
          <w:rFonts w:cs="Times New Roman"/>
          <w:szCs w:val="24"/>
        </w:rPr>
        <w:t>seu</w:t>
      </w:r>
      <w:r w:rsidR="00404FB6" w:rsidRPr="006213C4">
        <w:rPr>
          <w:rFonts w:cs="Times New Roman"/>
          <w:szCs w:val="24"/>
        </w:rPr>
        <w:t xml:space="preserve"> discurso carrega</w:t>
      </w:r>
      <w:r>
        <w:rPr>
          <w:rFonts w:cs="Times New Roman"/>
          <w:szCs w:val="24"/>
        </w:rPr>
        <w:t>va</w:t>
      </w:r>
      <w:r w:rsidR="00404FB6" w:rsidRPr="006213C4">
        <w:rPr>
          <w:rFonts w:cs="Times New Roman"/>
          <w:szCs w:val="24"/>
        </w:rPr>
        <w:t xml:space="preserve"> a mesma atenção essencialmente econômica </w:t>
      </w:r>
      <w:r>
        <w:rPr>
          <w:rFonts w:cs="Times New Roman"/>
          <w:szCs w:val="24"/>
        </w:rPr>
        <w:t xml:space="preserve">normalmente </w:t>
      </w:r>
      <w:r w:rsidR="00404FB6" w:rsidRPr="006213C4">
        <w:rPr>
          <w:rFonts w:cs="Times New Roman"/>
          <w:szCs w:val="24"/>
        </w:rPr>
        <w:t xml:space="preserve">dispensada à questão dos direitos autorais. </w:t>
      </w:r>
      <w:r w:rsidR="000A0EA2">
        <w:rPr>
          <w:rFonts w:cs="Times New Roman"/>
          <w:szCs w:val="24"/>
        </w:rPr>
        <w:t xml:space="preserve">Quanto aos escritores, </w:t>
      </w:r>
      <w:r w:rsidR="00404FB6" w:rsidRPr="006213C4">
        <w:rPr>
          <w:rFonts w:cs="Times New Roman"/>
          <w:szCs w:val="24"/>
        </w:rPr>
        <w:t xml:space="preserve">assumia a preocupação por sua situação econômica e social, visto que considerava que sua única riqueza seria o talento, meio pelo qual poderiam prover sua subsistência. A retribuição econômica a </w:t>
      </w:r>
      <w:r>
        <w:rPr>
          <w:rFonts w:cs="Times New Roman"/>
          <w:szCs w:val="24"/>
        </w:rPr>
        <w:t>esse</w:t>
      </w:r>
      <w:r w:rsidR="00404FB6" w:rsidRPr="006213C4">
        <w:rPr>
          <w:rFonts w:cs="Times New Roman"/>
          <w:szCs w:val="24"/>
        </w:rPr>
        <w:t xml:space="preserve"> trabalho, portanto, constituiria n</w:t>
      </w:r>
      <w:r w:rsidR="00F803BC">
        <w:rPr>
          <w:rFonts w:cs="Times New Roman"/>
          <w:szCs w:val="24"/>
        </w:rPr>
        <w:t>ão mais do que uma compensação</w:t>
      </w:r>
      <w:r w:rsidR="000A0EA2">
        <w:rPr>
          <w:rFonts w:cs="Times New Roman"/>
          <w:szCs w:val="24"/>
        </w:rPr>
        <w:t xml:space="preserve">. </w:t>
      </w:r>
      <w:r w:rsidR="00404FB6" w:rsidRPr="006213C4">
        <w:rPr>
          <w:rFonts w:cs="Times New Roman"/>
          <w:szCs w:val="24"/>
        </w:rPr>
        <w:t>Gavião Peixoto propunha uma nova forma de compensação aos autores, baseada na retribuição percentual do lucro obtido com seus textos</w:t>
      </w:r>
      <w:r>
        <w:rPr>
          <w:rFonts w:cs="Times New Roman"/>
          <w:szCs w:val="24"/>
        </w:rPr>
        <w:t>, fixada</w:t>
      </w:r>
      <w:r w:rsidR="00404FB6" w:rsidRPr="006213C4">
        <w:rPr>
          <w:rFonts w:cs="Times New Roman"/>
          <w:szCs w:val="24"/>
        </w:rPr>
        <w:t xml:space="preserve"> em dez por cento da renda</w:t>
      </w:r>
      <w:r>
        <w:rPr>
          <w:rFonts w:cs="Times New Roman"/>
          <w:szCs w:val="24"/>
        </w:rPr>
        <w:t xml:space="preserve"> total</w:t>
      </w:r>
      <w:r w:rsidR="00404FB6" w:rsidRPr="006213C4">
        <w:rPr>
          <w:rFonts w:cs="Times New Roman"/>
          <w:szCs w:val="24"/>
        </w:rPr>
        <w:t xml:space="preserve">. No entanto, a </w:t>
      </w:r>
      <w:r w:rsidRPr="006213C4">
        <w:rPr>
          <w:rFonts w:cs="Times New Roman"/>
          <w:szCs w:val="24"/>
        </w:rPr>
        <w:t>paga</w:t>
      </w:r>
      <w:r w:rsidR="00404FB6" w:rsidRPr="006213C4">
        <w:rPr>
          <w:rFonts w:cs="Times New Roman"/>
          <w:szCs w:val="24"/>
        </w:rPr>
        <w:t xml:space="preserve"> pelo </w:t>
      </w:r>
      <w:r w:rsidR="00404FB6" w:rsidRPr="006213C4">
        <w:rPr>
          <w:rFonts w:cs="Times New Roman"/>
          <w:szCs w:val="24"/>
        </w:rPr>
        <w:lastRenderedPageBreak/>
        <w:t>trabalho intelectual implicado na criação dos textos literários constituía apenas um dos problemas relacionados à propriedade dos autores sobre sua obra.</w:t>
      </w:r>
      <w:r>
        <w:rPr>
          <w:rFonts w:cs="Times New Roman"/>
          <w:szCs w:val="24"/>
        </w:rPr>
        <w:t xml:space="preserve"> </w:t>
      </w:r>
    </w:p>
    <w:p w:rsidR="00404FB6" w:rsidRPr="006213C4" w:rsidRDefault="00404FB6" w:rsidP="005651A7">
      <w:pPr>
        <w:spacing w:afterLines="40" w:line="480" w:lineRule="auto"/>
        <w:ind w:firstLine="851"/>
        <w:rPr>
          <w:rFonts w:cs="Times New Roman"/>
          <w:szCs w:val="24"/>
        </w:rPr>
      </w:pPr>
      <w:r w:rsidRPr="006213C4">
        <w:rPr>
          <w:rFonts w:cs="Times New Roman"/>
          <w:szCs w:val="24"/>
        </w:rPr>
        <w:t xml:space="preserve">Outro direito era também ignorado. Gavião Peixoto referia-se à possibilidade de legar em herança os direitos sobre os textos. Segundo o deputado, o empresário que morresse poderia estar despreocupado quanto à continuidade do gozo de sua propriedade, mas o mesmo não acontecia com os escritores. Tal situação impedia que os familiares de autores se vissem amparados diante do desaparecimento desses homens, </w:t>
      </w:r>
      <w:r w:rsidR="00F803BC">
        <w:rPr>
          <w:rFonts w:cs="Times New Roman"/>
          <w:szCs w:val="24"/>
        </w:rPr>
        <w:t>e sobre isso indaga o deputado:</w:t>
      </w:r>
    </w:p>
    <w:p w:rsidR="00404FB6" w:rsidRPr="006213C4" w:rsidRDefault="00404FB6" w:rsidP="005651A7">
      <w:pPr>
        <w:spacing w:afterLines="40" w:line="240" w:lineRule="auto"/>
        <w:ind w:left="1985"/>
        <w:rPr>
          <w:rFonts w:cs="Times New Roman"/>
          <w:sz w:val="22"/>
        </w:rPr>
      </w:pPr>
    </w:p>
    <w:p w:rsidR="00404FB6" w:rsidRPr="006213C4" w:rsidRDefault="00404FB6" w:rsidP="005651A7">
      <w:pPr>
        <w:spacing w:afterLines="40" w:line="240" w:lineRule="auto"/>
        <w:ind w:left="1985"/>
        <w:rPr>
          <w:rFonts w:cs="Times New Roman"/>
          <w:sz w:val="22"/>
        </w:rPr>
      </w:pPr>
      <w:r w:rsidRPr="006213C4">
        <w:rPr>
          <w:rFonts w:cs="Times New Roman"/>
          <w:sz w:val="22"/>
        </w:rPr>
        <w:t xml:space="preserve">Os que em sua vida apenas tiveram sua inteligência e sua pena para com elas e com seu suor quotidiano ganharem o pão de seu presente: o que deixarão a seus filhos como herança? Só a lembrança gloriosa de seu nome com a </w:t>
      </w:r>
      <w:r w:rsidRPr="00E85249">
        <w:rPr>
          <w:rFonts w:cs="Times New Roman"/>
          <w:sz w:val="22"/>
        </w:rPr>
        <w:t>miséria por sócia? Só a admiração de sua glória acompanhada para sua descendência com o legado das privações e da desonra?</w:t>
      </w:r>
      <w:r w:rsidR="00A91A9A">
        <w:rPr>
          <w:rFonts w:cs="Times New Roman"/>
          <w:sz w:val="22"/>
        </w:rPr>
        <w:t xml:space="preserve"> </w:t>
      </w:r>
      <w:r w:rsidR="00A91A9A">
        <w:rPr>
          <w:rStyle w:val="Refdenotaderodap"/>
          <w:rFonts w:cs="Times New Roman"/>
          <w:sz w:val="22"/>
        </w:rPr>
        <w:footnoteReference w:id="10"/>
      </w:r>
    </w:p>
    <w:p w:rsidR="00404FB6" w:rsidRPr="00036C0D" w:rsidRDefault="00404FB6" w:rsidP="005651A7">
      <w:pPr>
        <w:spacing w:afterLines="40" w:line="240" w:lineRule="auto"/>
        <w:ind w:left="1985"/>
        <w:rPr>
          <w:rFonts w:cs="Times New Roman"/>
          <w:sz w:val="22"/>
        </w:rPr>
      </w:pPr>
    </w:p>
    <w:p w:rsidR="00404FB6" w:rsidRPr="00036C0D" w:rsidRDefault="005A613F" w:rsidP="005651A7">
      <w:pPr>
        <w:spacing w:afterLines="40" w:line="480" w:lineRule="auto"/>
        <w:rPr>
          <w:rFonts w:cs="Times New Roman"/>
          <w:szCs w:val="24"/>
        </w:rPr>
      </w:pPr>
      <w:r w:rsidRPr="00036C0D">
        <w:rPr>
          <w:rFonts w:cs="Times New Roman"/>
          <w:szCs w:val="24"/>
        </w:rPr>
        <w:t xml:space="preserve">Era incluído, portanto, </w:t>
      </w:r>
      <w:r w:rsidR="00404FB6" w:rsidRPr="00036C0D">
        <w:rPr>
          <w:rFonts w:cs="Times New Roman"/>
          <w:szCs w:val="24"/>
        </w:rPr>
        <w:t xml:space="preserve">outro </w:t>
      </w:r>
      <w:r w:rsidRPr="00036C0D">
        <w:rPr>
          <w:rFonts w:cs="Times New Roman"/>
          <w:szCs w:val="24"/>
        </w:rPr>
        <w:t>direito que</w:t>
      </w:r>
      <w:r w:rsidR="00404FB6" w:rsidRPr="00036C0D">
        <w:rPr>
          <w:rFonts w:cs="Times New Roman"/>
          <w:szCs w:val="24"/>
        </w:rPr>
        <w:t xml:space="preserve"> dizia respeito ao gozo d</w:t>
      </w:r>
      <w:r w:rsidRPr="00036C0D">
        <w:rPr>
          <w:rFonts w:cs="Times New Roman"/>
          <w:szCs w:val="24"/>
        </w:rPr>
        <w:t>a</w:t>
      </w:r>
      <w:r w:rsidR="00404FB6" w:rsidRPr="00036C0D">
        <w:rPr>
          <w:rFonts w:cs="Times New Roman"/>
          <w:szCs w:val="24"/>
        </w:rPr>
        <w:t xml:space="preserve"> propriedade de forma mais completa. Ao estend</w:t>
      </w:r>
      <w:r w:rsidRPr="00036C0D">
        <w:rPr>
          <w:rFonts w:cs="Times New Roman"/>
          <w:szCs w:val="24"/>
        </w:rPr>
        <w:t>ê-la</w:t>
      </w:r>
      <w:r w:rsidR="00404FB6" w:rsidRPr="00036C0D">
        <w:rPr>
          <w:rFonts w:cs="Times New Roman"/>
          <w:szCs w:val="24"/>
        </w:rPr>
        <w:t xml:space="preserve"> também aos herdeiros, buscava-se fortalecer o legado deixado por esses homens. Apenas dessa maneira</w:t>
      </w:r>
      <w:r w:rsidR="000A0EA2" w:rsidRPr="00036C0D">
        <w:rPr>
          <w:rFonts w:cs="Times New Roman"/>
          <w:szCs w:val="24"/>
        </w:rPr>
        <w:t xml:space="preserve"> </w:t>
      </w:r>
      <w:r w:rsidR="00404FB6" w:rsidRPr="00036C0D">
        <w:rPr>
          <w:rFonts w:cs="Times New Roman"/>
          <w:szCs w:val="24"/>
        </w:rPr>
        <w:t>os autores se veriam livres para estabelecer uma família e desenvolver suas atividades sem a preocupação de deixar-lhes um futuro incerto. À honra da glória literária alcançada pelo autor como resultado da qualidade de seus escritos aliava-se, por sua proposta, a possibilidade da honra econômica. Sem resultado prático, a apresentação do projeto de lei de Gavião Peixoto não surtiu efeito sobre a situação dos direitos autorais. O insucesso demonstrou a dificuldade da abordagem desse tema no meio intelectual brasileiro, mas não definiu o tratamento da questão.</w:t>
      </w:r>
    </w:p>
    <w:p w:rsidR="00404FB6" w:rsidRPr="00036C0D" w:rsidRDefault="000A0EA2" w:rsidP="005651A7">
      <w:pPr>
        <w:spacing w:afterLines="40" w:line="480" w:lineRule="auto"/>
        <w:ind w:firstLine="851"/>
        <w:rPr>
          <w:rFonts w:cs="Times New Roman"/>
          <w:szCs w:val="24"/>
        </w:rPr>
      </w:pPr>
      <w:r w:rsidRPr="00036C0D">
        <w:rPr>
          <w:rFonts w:cs="Times New Roman"/>
          <w:szCs w:val="24"/>
        </w:rPr>
        <w:t xml:space="preserve">José de Alencar </w:t>
      </w:r>
      <w:r w:rsidR="00404FB6" w:rsidRPr="00036C0D">
        <w:rPr>
          <w:rFonts w:cs="Times New Roman"/>
          <w:szCs w:val="24"/>
        </w:rPr>
        <w:t>apresentou, em 1875, uma nova proposta de lei relativa à propriedade literária.</w:t>
      </w:r>
      <w:r w:rsidR="00A91A9A">
        <w:rPr>
          <w:rStyle w:val="Refdenotaderodap"/>
          <w:rFonts w:cs="Times New Roman"/>
          <w:szCs w:val="24"/>
        </w:rPr>
        <w:footnoteReference w:id="11"/>
      </w:r>
      <w:r w:rsidR="00404FB6" w:rsidRPr="00036C0D">
        <w:rPr>
          <w:rFonts w:cs="Times New Roman"/>
          <w:szCs w:val="24"/>
        </w:rPr>
        <w:t xml:space="preserve"> Diferentemente de iniciativas anteriores, o projeto trazia como anexo uma fundamentação bastante longa em que discutia aspectos atinentes à lei proposta. Alencar prop</w:t>
      </w:r>
      <w:r w:rsidR="00134B53" w:rsidRPr="00036C0D">
        <w:rPr>
          <w:rFonts w:cs="Times New Roman"/>
          <w:szCs w:val="24"/>
        </w:rPr>
        <w:t>ôs</w:t>
      </w:r>
      <w:r w:rsidR="00404FB6" w:rsidRPr="00036C0D">
        <w:rPr>
          <w:rFonts w:cs="Times New Roman"/>
          <w:szCs w:val="24"/>
        </w:rPr>
        <w:t xml:space="preserve">, já no primeiro artigo, as determinações mais urgentes e polêmicas para a garantia dos direitos de </w:t>
      </w:r>
      <w:r w:rsidR="00404FB6" w:rsidRPr="00036C0D">
        <w:rPr>
          <w:rFonts w:cs="Times New Roman"/>
          <w:szCs w:val="24"/>
        </w:rPr>
        <w:lastRenderedPageBreak/>
        <w:t>autores no país: “A propriedade literária e artística é inviolável como a propriedade em geral; goza das mesmas garantias e transmite-se hereditariamente sem limitação de tempo e sem distinção de nacionalidade”</w:t>
      </w:r>
      <w:r w:rsidR="00E33D3A" w:rsidRPr="00036C0D">
        <w:rPr>
          <w:rFonts w:cs="Times New Roman"/>
          <w:szCs w:val="24"/>
        </w:rPr>
        <w:t>.</w:t>
      </w:r>
      <w:r w:rsidR="00A91A9A">
        <w:rPr>
          <w:rStyle w:val="Refdenotaderodap"/>
          <w:rFonts w:cs="Times New Roman"/>
          <w:szCs w:val="24"/>
        </w:rPr>
        <w:footnoteReference w:id="12"/>
      </w:r>
      <w:r w:rsidR="00404FB6" w:rsidRPr="00036C0D">
        <w:rPr>
          <w:rFonts w:cs="Times New Roman"/>
          <w:szCs w:val="24"/>
        </w:rPr>
        <w:t xml:space="preserve"> Em um único golpe, o autor procurou responder </w:t>
      </w:r>
      <w:r w:rsidR="00134B53" w:rsidRPr="00036C0D">
        <w:rPr>
          <w:rFonts w:cs="Times New Roman"/>
          <w:szCs w:val="24"/>
        </w:rPr>
        <w:t>a</w:t>
      </w:r>
      <w:r w:rsidR="00404FB6" w:rsidRPr="00036C0D">
        <w:rPr>
          <w:rFonts w:cs="Times New Roman"/>
          <w:szCs w:val="24"/>
        </w:rPr>
        <w:t xml:space="preserve">os principais questionamentos colocados </w:t>
      </w:r>
      <w:r w:rsidR="003C71D3" w:rsidRPr="00036C0D">
        <w:rPr>
          <w:rFonts w:cs="Times New Roman"/>
          <w:szCs w:val="24"/>
        </w:rPr>
        <w:t xml:space="preserve">contra </w:t>
      </w:r>
      <w:r w:rsidR="00404FB6" w:rsidRPr="00036C0D">
        <w:rPr>
          <w:rFonts w:cs="Times New Roman"/>
          <w:szCs w:val="24"/>
        </w:rPr>
        <w:t xml:space="preserve">os direitos autorais. Aos que desconsideravam a validade da propriedade literária, afirmava-a como um direito inviolável, na medida em que seria comparável ao princípio geral da propriedade, tão caro à sociedade moderna. Estaria aquele direito protegido contra os delitos, com garantias semelhantes às que protegiam a propriedade privada. Além disso, Alencar expôs com intransigência sua posição sobre a duração dos direitos dos autores. Ao excluir qualquer limitação de tempo ao gozo daqueles direitos, o autor opunha-se até mesmo à grande maioria das propostas favoráveis, tendo em vista que normalmente </w:t>
      </w:r>
      <w:r w:rsidR="009E3944" w:rsidRPr="00036C0D">
        <w:rPr>
          <w:rFonts w:cs="Times New Roman"/>
          <w:szCs w:val="24"/>
        </w:rPr>
        <w:t>indicav</w:t>
      </w:r>
      <w:r w:rsidR="00404FB6" w:rsidRPr="00036C0D">
        <w:rPr>
          <w:rFonts w:cs="Times New Roman"/>
          <w:szCs w:val="24"/>
        </w:rPr>
        <w:t>am alguma limitação, ainda que estabelecesse prazos que venceriam apenas após a morte dos autores.</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Alencar procurou tratar questões como a reprodução das obras </w:t>
      </w:r>
      <w:r w:rsidR="00E85BBD" w:rsidRPr="00036C0D">
        <w:rPr>
          <w:rFonts w:cs="Times New Roman"/>
          <w:szCs w:val="24"/>
        </w:rPr>
        <w:t>alheias</w:t>
      </w:r>
      <w:r w:rsidRPr="00036C0D">
        <w:rPr>
          <w:rFonts w:cs="Times New Roman"/>
          <w:szCs w:val="24"/>
        </w:rPr>
        <w:t xml:space="preserve">, o plágio e as imitações, a </w:t>
      </w:r>
      <w:r w:rsidR="009E3944" w:rsidRPr="00036C0D">
        <w:rPr>
          <w:rFonts w:cs="Times New Roman"/>
          <w:szCs w:val="24"/>
        </w:rPr>
        <w:t xml:space="preserve">publicação </w:t>
      </w:r>
      <w:r w:rsidRPr="00036C0D">
        <w:rPr>
          <w:rFonts w:cs="Times New Roman"/>
          <w:szCs w:val="24"/>
        </w:rPr>
        <w:t xml:space="preserve">pela imprensa de comunicações orais e a reutilização de artigos veiculados em periódicos. Tratou também </w:t>
      </w:r>
      <w:r w:rsidR="009E3944" w:rsidRPr="00036C0D">
        <w:rPr>
          <w:rFonts w:cs="Times New Roman"/>
          <w:szCs w:val="24"/>
        </w:rPr>
        <w:t xml:space="preserve">da </w:t>
      </w:r>
      <w:r w:rsidRPr="00036C0D">
        <w:rPr>
          <w:rFonts w:cs="Times New Roman"/>
          <w:szCs w:val="24"/>
        </w:rPr>
        <w:t xml:space="preserve">transmissão </w:t>
      </w:r>
      <w:r w:rsidR="009E3944" w:rsidRPr="00036C0D">
        <w:rPr>
          <w:rFonts w:cs="Times New Roman"/>
          <w:szCs w:val="24"/>
        </w:rPr>
        <w:t xml:space="preserve">de direitos sobre </w:t>
      </w:r>
      <w:r w:rsidRPr="00036C0D">
        <w:rPr>
          <w:rFonts w:cs="Times New Roman"/>
          <w:szCs w:val="24"/>
        </w:rPr>
        <w:t>a obra por meio de contrato</w:t>
      </w:r>
      <w:r w:rsidR="009E3944" w:rsidRPr="00036C0D">
        <w:rPr>
          <w:rFonts w:cs="Times New Roman"/>
          <w:szCs w:val="24"/>
        </w:rPr>
        <w:t>s</w:t>
      </w:r>
      <w:r w:rsidRPr="00036C0D">
        <w:rPr>
          <w:rFonts w:cs="Times New Roman"/>
          <w:szCs w:val="24"/>
        </w:rPr>
        <w:t xml:space="preserve"> e estabeleceu a necessidade de </w:t>
      </w:r>
      <w:r w:rsidR="009E3944" w:rsidRPr="00036C0D">
        <w:rPr>
          <w:rFonts w:cs="Times New Roman"/>
          <w:szCs w:val="24"/>
        </w:rPr>
        <w:t xml:space="preserve">um </w:t>
      </w:r>
      <w:r w:rsidRPr="00036C0D">
        <w:rPr>
          <w:rFonts w:cs="Times New Roman"/>
          <w:szCs w:val="24"/>
        </w:rPr>
        <w:t xml:space="preserve">registro para </w:t>
      </w:r>
      <w:r w:rsidR="009E3944" w:rsidRPr="00036C0D">
        <w:rPr>
          <w:rFonts w:cs="Times New Roman"/>
          <w:szCs w:val="24"/>
        </w:rPr>
        <w:t xml:space="preserve">garantia de </w:t>
      </w:r>
      <w:r w:rsidRPr="00036C0D">
        <w:rPr>
          <w:rFonts w:cs="Times New Roman"/>
          <w:szCs w:val="24"/>
        </w:rPr>
        <w:t xml:space="preserve">gozo dos direitos. A maior novidade presente no texto, em relação às iniciativas anteriores foi </w:t>
      </w:r>
      <w:proofErr w:type="gramStart"/>
      <w:r w:rsidRPr="00036C0D">
        <w:rPr>
          <w:rFonts w:cs="Times New Roman"/>
          <w:szCs w:val="24"/>
        </w:rPr>
        <w:t>a</w:t>
      </w:r>
      <w:proofErr w:type="gramEnd"/>
      <w:r w:rsidRPr="00036C0D">
        <w:rPr>
          <w:rFonts w:cs="Times New Roman"/>
          <w:szCs w:val="24"/>
        </w:rPr>
        <w:t xml:space="preserve"> definição da essência da obra artística e literária sob três aspectos, a saber: o título, que seria a síntese da obra, que a especificaria e resumiria; a forma, que seria a configuração exterior da obra, seu aspecto;</w:t>
      </w:r>
      <w:r w:rsidR="00832091" w:rsidRPr="00036C0D">
        <w:rPr>
          <w:rStyle w:val="Refdenotaderodap"/>
          <w:rFonts w:cs="Times New Roman"/>
          <w:szCs w:val="24"/>
        </w:rPr>
        <w:footnoteReference w:id="13"/>
      </w:r>
      <w:r w:rsidR="00832091" w:rsidRPr="00036C0D">
        <w:rPr>
          <w:rFonts w:cs="Times New Roman"/>
          <w:szCs w:val="24"/>
        </w:rPr>
        <w:t xml:space="preserve"> </w:t>
      </w:r>
      <w:r w:rsidRPr="00036C0D">
        <w:rPr>
          <w:rFonts w:cs="Times New Roman"/>
          <w:szCs w:val="24"/>
        </w:rPr>
        <w:t>por último, haveria também a contextura, compreendendo o método e a organização utilizada para construir a obra, podendo ser geral, quando empregada em outros trabalhos (como no caso da divisão utilizada numa obra de direito constitucional ou de medicina para organização dos conhecimentos) ou específica, quando consistisse em novidade na disposição das matérias ou do encadeamento da obra literária.</w:t>
      </w:r>
    </w:p>
    <w:p w:rsidR="002A7F28" w:rsidRPr="00036C0D" w:rsidRDefault="00404FB6" w:rsidP="005651A7">
      <w:pPr>
        <w:spacing w:afterLines="40" w:line="480" w:lineRule="auto"/>
        <w:ind w:firstLine="851"/>
        <w:rPr>
          <w:rFonts w:cs="Times New Roman"/>
          <w:szCs w:val="24"/>
        </w:rPr>
      </w:pPr>
      <w:r w:rsidRPr="00036C0D">
        <w:rPr>
          <w:rFonts w:cs="Times New Roman"/>
          <w:szCs w:val="24"/>
        </w:rPr>
        <w:t xml:space="preserve">Mais importante, no entanto, era reverter </w:t>
      </w:r>
      <w:proofErr w:type="gramStart"/>
      <w:r w:rsidRPr="00036C0D">
        <w:rPr>
          <w:rFonts w:cs="Times New Roman"/>
          <w:szCs w:val="24"/>
        </w:rPr>
        <w:t>a</w:t>
      </w:r>
      <w:proofErr w:type="gramEnd"/>
      <w:r w:rsidRPr="00036C0D">
        <w:rPr>
          <w:rFonts w:cs="Times New Roman"/>
          <w:szCs w:val="24"/>
        </w:rPr>
        <w:t xml:space="preserve"> falta de reconhecimento do caráter de propriedade ao domínio do escritor sobre seus textos. </w:t>
      </w:r>
      <w:r w:rsidR="00E85BBD" w:rsidRPr="00036C0D">
        <w:rPr>
          <w:rFonts w:cs="Times New Roman"/>
          <w:szCs w:val="24"/>
        </w:rPr>
        <w:t>I</w:t>
      </w:r>
      <w:r w:rsidRPr="00036C0D">
        <w:rPr>
          <w:rFonts w:cs="Times New Roman"/>
          <w:szCs w:val="24"/>
        </w:rPr>
        <w:t>sso constituía</w:t>
      </w:r>
      <w:r w:rsidR="00E85BBD" w:rsidRPr="00036C0D">
        <w:rPr>
          <w:rFonts w:cs="Times New Roman"/>
          <w:szCs w:val="24"/>
        </w:rPr>
        <w:t>, para Alencar,</w:t>
      </w:r>
      <w:r w:rsidRPr="00036C0D">
        <w:rPr>
          <w:rFonts w:cs="Times New Roman"/>
          <w:szCs w:val="24"/>
        </w:rPr>
        <w:t xml:space="preserve"> um confisco </w:t>
      </w:r>
      <w:r w:rsidR="00E85BBD" w:rsidRPr="00036C0D">
        <w:rPr>
          <w:rFonts w:cs="Times New Roman"/>
          <w:szCs w:val="24"/>
        </w:rPr>
        <w:lastRenderedPageBreak/>
        <w:t>pel</w:t>
      </w:r>
      <w:r w:rsidRPr="00036C0D">
        <w:rPr>
          <w:rFonts w:cs="Times New Roman"/>
          <w:szCs w:val="24"/>
        </w:rPr>
        <w:t xml:space="preserve">o Estado </w:t>
      </w:r>
      <w:r w:rsidR="00E85BBD" w:rsidRPr="00036C0D">
        <w:rPr>
          <w:rFonts w:cs="Times New Roman"/>
          <w:szCs w:val="24"/>
        </w:rPr>
        <w:t>d</w:t>
      </w:r>
      <w:r w:rsidRPr="00036C0D">
        <w:rPr>
          <w:rFonts w:cs="Times New Roman"/>
          <w:szCs w:val="24"/>
        </w:rPr>
        <w:t xml:space="preserve">os direitos desses indivíduos que tinha como base uma compreensão equivocada da produção cultural. Segundo defendeu, a própria jurisprudência mostrava-se contrária </w:t>
      </w:r>
      <w:r w:rsidR="00E85BBD" w:rsidRPr="00036C0D">
        <w:rPr>
          <w:rFonts w:cs="Times New Roman"/>
          <w:szCs w:val="24"/>
        </w:rPr>
        <w:t>à</w:t>
      </w:r>
      <w:r w:rsidRPr="00036C0D">
        <w:rPr>
          <w:rFonts w:cs="Times New Roman"/>
          <w:szCs w:val="24"/>
        </w:rPr>
        <w:t xml:space="preserve"> propriedade intelectual, validando o argumento de que “as produções do espírito não são (...) suscetíveis de ocupação. Acham-se no mesmo caso do ar e da luz; são riquezas universais, que não podem cair no domínio privado”.</w:t>
      </w:r>
      <w:r w:rsidR="00A91A9A">
        <w:rPr>
          <w:rStyle w:val="Refdenotaderodap"/>
          <w:rFonts w:cs="Times New Roman"/>
          <w:szCs w:val="24"/>
        </w:rPr>
        <w:footnoteReference w:id="14"/>
      </w:r>
      <w:r w:rsidRPr="00036C0D">
        <w:rPr>
          <w:rFonts w:cs="Times New Roman"/>
          <w:szCs w:val="24"/>
        </w:rPr>
        <w:t xml:space="preserve"> Alencar argumentou</w:t>
      </w:r>
      <w:r w:rsidR="00E85BBD" w:rsidRPr="00036C0D">
        <w:rPr>
          <w:rFonts w:cs="Times New Roman"/>
          <w:szCs w:val="24"/>
        </w:rPr>
        <w:t xml:space="preserve"> que co</w:t>
      </w:r>
      <w:r w:rsidR="002A7F28" w:rsidRPr="00036C0D">
        <w:rPr>
          <w:rFonts w:cs="Times New Roman"/>
          <w:szCs w:val="24"/>
        </w:rPr>
        <w:t>mu</w:t>
      </w:r>
      <w:r w:rsidR="00E85BBD" w:rsidRPr="00036C0D">
        <w:rPr>
          <w:rFonts w:cs="Times New Roman"/>
          <w:szCs w:val="24"/>
        </w:rPr>
        <w:t xml:space="preserve">mente defendia-se </w:t>
      </w:r>
      <w:r w:rsidRPr="00036C0D">
        <w:rPr>
          <w:rFonts w:cs="Times New Roman"/>
          <w:szCs w:val="24"/>
        </w:rPr>
        <w:t xml:space="preserve">que as criações não formariam um produto de domínio individual, mas, pelo contrário, </w:t>
      </w:r>
      <w:r w:rsidR="00E85BBD" w:rsidRPr="00036C0D">
        <w:rPr>
          <w:rFonts w:cs="Times New Roman"/>
          <w:szCs w:val="24"/>
        </w:rPr>
        <w:t>resultariam</w:t>
      </w:r>
      <w:r w:rsidRPr="00036C0D">
        <w:rPr>
          <w:rFonts w:cs="Times New Roman"/>
          <w:szCs w:val="24"/>
        </w:rPr>
        <w:t xml:space="preserve"> de um tipo de missão confiada pela sociedade aos pensadores. </w:t>
      </w:r>
      <w:r w:rsidR="00E85BBD" w:rsidRPr="00036C0D">
        <w:rPr>
          <w:rFonts w:cs="Times New Roman"/>
          <w:szCs w:val="24"/>
        </w:rPr>
        <w:t>P</w:t>
      </w:r>
      <w:r w:rsidRPr="00036C0D">
        <w:rPr>
          <w:rFonts w:cs="Times New Roman"/>
          <w:szCs w:val="24"/>
        </w:rPr>
        <w:t xml:space="preserve">ertenceriam à sociedade como um todo e, de forma mais generalizada, à humanidade mesma. </w:t>
      </w:r>
    </w:p>
    <w:p w:rsidR="00404FB6" w:rsidRPr="00036C0D" w:rsidRDefault="00404FB6" w:rsidP="005651A7">
      <w:pPr>
        <w:spacing w:afterLines="40" w:line="480" w:lineRule="auto"/>
        <w:ind w:firstLine="851"/>
        <w:rPr>
          <w:rFonts w:cs="Times New Roman"/>
          <w:szCs w:val="24"/>
        </w:rPr>
      </w:pPr>
      <w:r w:rsidRPr="00036C0D">
        <w:rPr>
          <w:rFonts w:cs="Times New Roman"/>
          <w:szCs w:val="24"/>
        </w:rPr>
        <w:t>Especialmente durante o segundo e terceiro quart</w:t>
      </w:r>
      <w:r w:rsidR="00E85BBD" w:rsidRPr="00036C0D">
        <w:rPr>
          <w:rFonts w:cs="Times New Roman"/>
          <w:szCs w:val="24"/>
        </w:rPr>
        <w:t>o</w:t>
      </w:r>
      <w:r w:rsidRPr="00036C0D">
        <w:rPr>
          <w:rFonts w:cs="Times New Roman"/>
          <w:szCs w:val="24"/>
        </w:rPr>
        <w:t>s do século XIX ocorreram debates generalizados sobre a justeza dos direitos relacionados à propriedade literária. Considerava-se que as idéias que constituíam as obras resultariam da experiência social dos autores, de seu contato com aquilo que o desenvolvimento da cultura lhes permitia. Segundo esse ponto de vista, seu direito não seria, com efeito, apenas seu, mas sim de todos aqueles que conviviam e partilhavam as experiências sociais, produzindo e consumindo cultura. Os direitos autorais consistiriam,</w:t>
      </w:r>
      <w:r w:rsidR="00E85BBD" w:rsidRPr="00036C0D">
        <w:rPr>
          <w:rFonts w:cs="Times New Roman"/>
          <w:szCs w:val="24"/>
        </w:rPr>
        <w:t xml:space="preserve"> dessa maneira</w:t>
      </w:r>
      <w:r w:rsidRPr="00036C0D">
        <w:rPr>
          <w:rFonts w:cs="Times New Roman"/>
          <w:szCs w:val="24"/>
        </w:rPr>
        <w:t>, usurpação de um direito social generalizado.</w:t>
      </w:r>
      <w:r w:rsidR="00A91A9A">
        <w:rPr>
          <w:rStyle w:val="Refdenotaderodap"/>
          <w:rFonts w:cs="Times New Roman"/>
          <w:szCs w:val="24"/>
        </w:rPr>
        <w:footnoteReference w:id="15"/>
      </w:r>
      <w:r w:rsidRPr="00036C0D">
        <w:rPr>
          <w:rFonts w:cs="Times New Roman"/>
          <w:szCs w:val="24"/>
        </w:rPr>
        <w:t xml:space="preserve"> Na esteira dessa discussão foi que se procurou estabelecer limitações ao direito, abrindo maior possibilidade de usufruto livre dos produtos culturais por parte d</w:t>
      </w:r>
      <w:r w:rsidR="00F803BC" w:rsidRPr="00036C0D">
        <w:rPr>
          <w:rFonts w:cs="Times New Roman"/>
          <w:szCs w:val="24"/>
        </w:rPr>
        <w:t>a sociedade.</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A este tipo de proposição, Alencar respondia com uma diferenciação entre civilização, pensamento e literatura, aplicando certa tônica ao fato de ser </w:t>
      </w:r>
      <w:r w:rsidR="002A7F28" w:rsidRPr="00036C0D">
        <w:rPr>
          <w:rFonts w:cs="Times New Roman"/>
          <w:szCs w:val="24"/>
        </w:rPr>
        <w:t xml:space="preserve">esta última </w:t>
      </w:r>
      <w:r w:rsidRPr="00036C0D">
        <w:rPr>
          <w:rFonts w:cs="Times New Roman"/>
          <w:szCs w:val="24"/>
        </w:rPr>
        <w:t xml:space="preserve">uma produção artística, uma ocupação que não consistiria mais no pensamento abstrato, mas sim </w:t>
      </w:r>
      <w:r w:rsidR="002A7F28" w:rsidRPr="00036C0D">
        <w:rPr>
          <w:rFonts w:cs="Times New Roman"/>
          <w:szCs w:val="24"/>
        </w:rPr>
        <w:t xml:space="preserve">em </w:t>
      </w:r>
      <w:r w:rsidRPr="00036C0D">
        <w:rPr>
          <w:rFonts w:cs="Times New Roman"/>
          <w:szCs w:val="24"/>
        </w:rPr>
        <w:t>um resultado do trabalho inventivo do autor. O que deveria ser protegido, portanto, não seria a id</w:t>
      </w:r>
      <w:r w:rsidR="00A91A9A">
        <w:rPr>
          <w:rFonts w:cs="Times New Roman"/>
          <w:szCs w:val="24"/>
        </w:rPr>
        <w:t>e</w:t>
      </w:r>
      <w:r w:rsidRPr="00036C0D">
        <w:rPr>
          <w:rFonts w:cs="Times New Roman"/>
          <w:szCs w:val="24"/>
        </w:rPr>
        <w:t>ia</w:t>
      </w:r>
      <w:r w:rsidR="00A91A9A">
        <w:rPr>
          <w:rFonts w:cs="Times New Roman"/>
          <w:szCs w:val="24"/>
        </w:rPr>
        <w:t>,</w:t>
      </w:r>
      <w:r w:rsidRPr="00036C0D">
        <w:rPr>
          <w:rFonts w:cs="Times New Roman"/>
          <w:szCs w:val="24"/>
        </w:rPr>
        <w:t xml:space="preserve"> mas o produto resultante do trabalho empreendido. A civilização não seria defendida através do confisco aos escritores dos direitos sobre as criações de </w:t>
      </w:r>
      <w:r w:rsidRPr="00036C0D">
        <w:rPr>
          <w:rFonts w:cs="Times New Roman"/>
          <w:i/>
          <w:szCs w:val="24"/>
        </w:rPr>
        <w:t>seu</w:t>
      </w:r>
      <w:r w:rsidRPr="00036C0D">
        <w:rPr>
          <w:rFonts w:cs="Times New Roman"/>
          <w:szCs w:val="24"/>
        </w:rPr>
        <w:t xml:space="preserve"> espírito. Na obra, segundo Alencar, estariam expressos os traços da personalidade do autor, o que lhe daria individualidade diante de todo </w:t>
      </w:r>
      <w:r w:rsidRPr="00036C0D">
        <w:rPr>
          <w:rFonts w:cs="Times New Roman"/>
          <w:szCs w:val="24"/>
        </w:rPr>
        <w:lastRenderedPageBreak/>
        <w:t>conhecimento que se relacionasse com ela. Ainda que integrasse uma corrente de pensamento ou fosse constituída de conhecimentos gerais alcançados pela coletividade, a maneira de dispor os assuntos, as soluções e, em suma, o resultado final dependeria do autor que seria por ela responsável.</w:t>
      </w:r>
    </w:p>
    <w:p w:rsidR="00404FB6" w:rsidRPr="00036C0D" w:rsidRDefault="00404FB6" w:rsidP="005651A7">
      <w:pPr>
        <w:spacing w:afterLines="40" w:line="480" w:lineRule="auto"/>
        <w:ind w:firstLine="851"/>
        <w:rPr>
          <w:rFonts w:cs="Times New Roman"/>
          <w:szCs w:val="24"/>
        </w:rPr>
      </w:pPr>
      <w:r w:rsidRPr="00036C0D">
        <w:rPr>
          <w:rFonts w:cs="Times New Roman"/>
          <w:szCs w:val="24"/>
        </w:rPr>
        <w:t>Juridicamente, afirmou que a produção literária e artística era bem caracterizada, constituindo um fruto direto do trabalho do autor. Como o deputado Aprígio Guimarães, Alencar sustentou que a lei sobre propriedade literária deveria garantir, também, a propriedade das obras de autores estrangeiros publicadas em outros países, destacando a importância de que os governos dos outros países assegurassem a reciprocidade de tratamento para as obras publicadas no Brasil.</w:t>
      </w:r>
    </w:p>
    <w:p w:rsidR="00404FB6" w:rsidRPr="00036C0D" w:rsidRDefault="002A7F28" w:rsidP="005651A7">
      <w:pPr>
        <w:spacing w:afterLines="40" w:line="480" w:lineRule="auto"/>
        <w:ind w:firstLine="851"/>
        <w:rPr>
          <w:rFonts w:cs="Times New Roman"/>
          <w:szCs w:val="24"/>
        </w:rPr>
      </w:pPr>
      <w:r w:rsidRPr="00036C0D">
        <w:rPr>
          <w:rFonts w:cs="Times New Roman"/>
          <w:szCs w:val="24"/>
        </w:rPr>
        <w:t>Outro questionamento</w:t>
      </w:r>
      <w:r w:rsidR="00404FB6" w:rsidRPr="00036C0D">
        <w:rPr>
          <w:rFonts w:cs="Times New Roman"/>
          <w:szCs w:val="24"/>
        </w:rPr>
        <w:t xml:space="preserve"> imposto contra a aceitação jurídica da propriedade literária em suas primeiras discussões, e que foi respondido por José de Alencar no primeiro artigo de sua proposta legislativa, tem relação com a capacidade do autor de dispor de seu direito por meio de herança. Considerando o direito ainda como privilégio, grande parte dos que concediam o domínio econômico dos autores sobre suas obras, compreendiam, no entanto, q</w:t>
      </w:r>
      <w:r w:rsidR="003E53A4" w:rsidRPr="00036C0D">
        <w:rPr>
          <w:rFonts w:cs="Times New Roman"/>
          <w:szCs w:val="24"/>
        </w:rPr>
        <w:t>ue, uma vez morto o autor, estari</w:t>
      </w:r>
      <w:r w:rsidR="00404FB6" w:rsidRPr="00036C0D">
        <w:rPr>
          <w:rFonts w:cs="Times New Roman"/>
          <w:szCs w:val="24"/>
        </w:rPr>
        <w:t xml:space="preserve">a extinto o domínio sobre a obra. Em suma, seus herdeiros não teriam direito sobre a produção do escritor morto. </w:t>
      </w:r>
      <w:r w:rsidR="005A13E6" w:rsidRPr="00036C0D">
        <w:rPr>
          <w:rFonts w:cs="Times New Roman"/>
          <w:szCs w:val="24"/>
        </w:rPr>
        <w:t>Após morto o autor, estariam e</w:t>
      </w:r>
      <w:r w:rsidR="00404FB6" w:rsidRPr="00036C0D">
        <w:rPr>
          <w:rFonts w:cs="Times New Roman"/>
          <w:szCs w:val="24"/>
        </w:rPr>
        <w:t xml:space="preserve">xtintos os </w:t>
      </w:r>
      <w:r w:rsidR="005A13E6" w:rsidRPr="00036C0D">
        <w:rPr>
          <w:rFonts w:cs="Times New Roman"/>
          <w:szCs w:val="24"/>
        </w:rPr>
        <w:t xml:space="preserve">seus </w:t>
      </w:r>
      <w:r w:rsidR="00404FB6" w:rsidRPr="00036C0D">
        <w:rPr>
          <w:rFonts w:cs="Times New Roman"/>
          <w:szCs w:val="24"/>
        </w:rPr>
        <w:t>direitos morai</w:t>
      </w:r>
      <w:r w:rsidR="005A13E6" w:rsidRPr="00036C0D">
        <w:rPr>
          <w:rFonts w:cs="Times New Roman"/>
          <w:szCs w:val="24"/>
        </w:rPr>
        <w:t>s</w:t>
      </w:r>
      <w:r w:rsidR="00404FB6" w:rsidRPr="00036C0D">
        <w:rPr>
          <w:rFonts w:cs="Times New Roman"/>
          <w:szCs w:val="24"/>
        </w:rPr>
        <w:t xml:space="preserve"> sobre a obra, uma vez que a pessoa responsável por ela não mais existi</w:t>
      </w:r>
      <w:r w:rsidR="005A13E6" w:rsidRPr="00036C0D">
        <w:rPr>
          <w:rFonts w:cs="Times New Roman"/>
          <w:szCs w:val="24"/>
        </w:rPr>
        <w:t>a</w:t>
      </w:r>
      <w:r w:rsidR="00404FB6" w:rsidRPr="00036C0D">
        <w:rPr>
          <w:rFonts w:cs="Times New Roman"/>
          <w:szCs w:val="24"/>
        </w:rPr>
        <w:t>. O direito econômico, no entanto, seria perpetuado sem limitações, o que para muitos não parecia justificado. Alenca</w:t>
      </w:r>
      <w:r w:rsidR="003E53A4" w:rsidRPr="00036C0D">
        <w:rPr>
          <w:rFonts w:cs="Times New Roman"/>
          <w:szCs w:val="24"/>
        </w:rPr>
        <w:t>r</w:t>
      </w:r>
      <w:r w:rsidR="005A13E6" w:rsidRPr="00036C0D">
        <w:rPr>
          <w:rFonts w:cs="Times New Roman"/>
          <w:szCs w:val="24"/>
        </w:rPr>
        <w:t>, em resposta,</w:t>
      </w:r>
      <w:r w:rsidR="003E53A4" w:rsidRPr="00036C0D">
        <w:rPr>
          <w:rFonts w:cs="Times New Roman"/>
          <w:szCs w:val="24"/>
        </w:rPr>
        <w:t xml:space="preserve"> </w:t>
      </w:r>
      <w:r w:rsidR="00404FB6" w:rsidRPr="00036C0D">
        <w:rPr>
          <w:rFonts w:cs="Times New Roman"/>
          <w:szCs w:val="24"/>
        </w:rPr>
        <w:t>não propôs limitações aos direitos dos herdeiros, talvez por considerar o trabalho literário pouco rentável mesmo no correr de muitos anos de retorno resultante da venda de um livro. Para o romancista, “o bom livro é, no Brasil, e por muito tempo será para seu autor, um desastre financeiro. O cabedal de inteligência e trabalho que nele se emprega daria em qualquer outra aplicação lucro cêntuplo”.</w:t>
      </w:r>
      <w:r w:rsidR="007110F1">
        <w:rPr>
          <w:rStyle w:val="Refdenotaderodap"/>
          <w:rFonts w:cs="Times New Roman"/>
          <w:szCs w:val="24"/>
        </w:rPr>
        <w:footnoteReference w:id="16"/>
      </w:r>
      <w:r w:rsidR="00404FB6" w:rsidRPr="00036C0D">
        <w:rPr>
          <w:rFonts w:cs="Times New Roman"/>
          <w:szCs w:val="24"/>
        </w:rPr>
        <w:t xml:space="preserve"> Parecia-lhe, portanto, justificável garantir aos familiares a possibilidade de receber o retorno que em vida o autor jamais receberia pelo trabalho empreendido na construção de sua obra.</w:t>
      </w:r>
    </w:p>
    <w:p w:rsidR="00404FB6" w:rsidRPr="00036C0D" w:rsidRDefault="00404FB6" w:rsidP="005651A7">
      <w:pPr>
        <w:spacing w:afterLines="40" w:line="480" w:lineRule="auto"/>
        <w:ind w:firstLine="851"/>
        <w:rPr>
          <w:rFonts w:cs="Times New Roman"/>
          <w:szCs w:val="24"/>
        </w:rPr>
      </w:pPr>
      <w:r w:rsidRPr="00036C0D">
        <w:rPr>
          <w:rFonts w:cs="Times New Roman"/>
          <w:szCs w:val="24"/>
        </w:rPr>
        <w:lastRenderedPageBreak/>
        <w:t>Garantir o retorno do trabalho ao autor, portanto, pressupunha resguardar a obra das ações de contrafação que poderia sofrer, bem como evitar qualquer tipo de utilização indevida das idéias resultantes do trabalho do autor. Nesse sentido, a oposição ao plágio era também exposta no projeto. Havia uma ressalva quanto à possível confusão entre essa atitude e as práticas legítimas da imitação e da citação</w:t>
      </w:r>
      <w:r w:rsidR="003E53A4" w:rsidRPr="00036C0D">
        <w:rPr>
          <w:rFonts w:cs="Times New Roman"/>
          <w:szCs w:val="24"/>
        </w:rPr>
        <w:t xml:space="preserve"> que deveriam ser distinguidas s</w:t>
      </w:r>
      <w:r w:rsidRPr="00036C0D">
        <w:rPr>
          <w:rFonts w:cs="Times New Roman"/>
          <w:szCs w:val="24"/>
        </w:rPr>
        <w:t xml:space="preserve">em generalizações. No artigo 11, o projeto estabelecia que questões de plágio e contrafação </w:t>
      </w:r>
      <w:proofErr w:type="gramStart"/>
      <w:r w:rsidRPr="00036C0D">
        <w:rPr>
          <w:rFonts w:cs="Times New Roman"/>
          <w:szCs w:val="24"/>
        </w:rPr>
        <w:t>deveriam</w:t>
      </w:r>
      <w:proofErr w:type="gramEnd"/>
      <w:r w:rsidRPr="00036C0D">
        <w:rPr>
          <w:rFonts w:cs="Times New Roman"/>
          <w:szCs w:val="24"/>
        </w:rPr>
        <w:t xml:space="preserve"> ser decididas por um júri composto por três escritores ou, em casos que envolvessem outro mister, artistas da especialidade da contrafação julgada. Além de estabelecer a existência</w:t>
      </w:r>
      <w:r w:rsidRPr="00036C0D">
        <w:rPr>
          <w:rFonts w:cs="Times New Roman"/>
          <w:i/>
          <w:szCs w:val="24"/>
        </w:rPr>
        <w:t xml:space="preserve"> </w:t>
      </w:r>
      <w:r w:rsidRPr="00036C0D">
        <w:rPr>
          <w:rFonts w:cs="Times New Roman"/>
          <w:szCs w:val="24"/>
        </w:rPr>
        <w:t>do domínio dos autores sobre suas obras, Alencar propunha ainda a definição de uma nova função social para os seus pares, que poderiam exercer o papel de juízes diante de casos que en</w:t>
      </w:r>
      <w:r w:rsidR="003E53A4" w:rsidRPr="00036C0D">
        <w:rPr>
          <w:rFonts w:cs="Times New Roman"/>
          <w:szCs w:val="24"/>
        </w:rPr>
        <w:t>volvessem seu tipo de ocupação.</w:t>
      </w:r>
      <w:r w:rsidR="005A13E6" w:rsidRPr="00036C0D">
        <w:rPr>
          <w:rFonts w:cs="Times New Roman"/>
          <w:szCs w:val="24"/>
        </w:rPr>
        <w:t xml:space="preserve"> </w:t>
      </w:r>
      <w:r w:rsidRPr="00036C0D">
        <w:rPr>
          <w:rFonts w:cs="Times New Roman"/>
          <w:szCs w:val="24"/>
        </w:rPr>
        <w:t>A iniciativa de José de Alencar demonstrou a preocupação dos escritores com as tomadas de d</w:t>
      </w:r>
      <w:r w:rsidR="003E53A4" w:rsidRPr="00036C0D">
        <w:rPr>
          <w:rFonts w:cs="Times New Roman"/>
          <w:szCs w:val="24"/>
        </w:rPr>
        <w:t>ecisão referentes a seu fazer</w:t>
      </w:r>
      <w:r w:rsidRPr="00036C0D">
        <w:rPr>
          <w:rFonts w:cs="Times New Roman"/>
          <w:szCs w:val="24"/>
        </w:rPr>
        <w:t xml:space="preserve">. </w:t>
      </w:r>
      <w:r w:rsidR="003E53A4" w:rsidRPr="00036C0D">
        <w:rPr>
          <w:rFonts w:cs="Times New Roman"/>
          <w:szCs w:val="24"/>
        </w:rPr>
        <w:t xml:space="preserve">Alencar </w:t>
      </w:r>
      <w:r w:rsidRPr="00036C0D">
        <w:rPr>
          <w:rFonts w:cs="Times New Roman"/>
          <w:szCs w:val="24"/>
        </w:rPr>
        <w:t>retomou temas discutidos pelas propostas anteriores e trouxe novidades, como a concentração sobre um tratamento mais estético que comercial da propriedade intelectual, além de oferecer junto da minuta da lei uma justificação pormenorizada em que buscava responder a possíveis oposições.</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Em 1882, Tobias Barreto ocupou a seção de jurisprudência nas páginas do </w:t>
      </w:r>
      <w:r w:rsidRPr="00036C0D">
        <w:rPr>
          <w:rFonts w:cs="Times New Roman"/>
          <w:i/>
          <w:szCs w:val="24"/>
        </w:rPr>
        <w:t>Diário de Pernambuco</w:t>
      </w:r>
      <w:r w:rsidRPr="00036C0D">
        <w:rPr>
          <w:rFonts w:cs="Times New Roman"/>
          <w:szCs w:val="24"/>
        </w:rPr>
        <w:t xml:space="preserve"> para tratar do tema. Intitulado didaticamente </w:t>
      </w:r>
      <w:r w:rsidRPr="00036C0D">
        <w:rPr>
          <w:rFonts w:cs="Times New Roman"/>
          <w:i/>
          <w:szCs w:val="24"/>
        </w:rPr>
        <w:t>O que se deve entender por direito autoral</w:t>
      </w:r>
      <w:r w:rsidR="00E33D3A" w:rsidRPr="00036C0D">
        <w:rPr>
          <w:rFonts w:cs="Times New Roman"/>
          <w:szCs w:val="24"/>
        </w:rPr>
        <w:t>,</w:t>
      </w:r>
      <w:r w:rsidRPr="00036C0D">
        <w:rPr>
          <w:rFonts w:cs="Times New Roman"/>
          <w:szCs w:val="24"/>
        </w:rPr>
        <w:t xml:space="preserve"> seu artigo apresentava uma defesa do abandono da expressão</w:t>
      </w:r>
      <w:r w:rsidR="005A13E6" w:rsidRPr="00036C0D">
        <w:rPr>
          <w:rFonts w:cs="Times New Roman"/>
          <w:szCs w:val="24"/>
        </w:rPr>
        <w:t xml:space="preserve"> usualmente empregada de</w:t>
      </w:r>
      <w:r w:rsidRPr="00036C0D">
        <w:rPr>
          <w:rFonts w:cs="Times New Roman"/>
          <w:szCs w:val="24"/>
        </w:rPr>
        <w:t xml:space="preserve"> “propriedade literária” em favor de “direito autoral”.</w:t>
      </w:r>
      <w:r w:rsidR="007110F1">
        <w:rPr>
          <w:rStyle w:val="Refdenotaderodap"/>
          <w:rFonts w:cs="Times New Roman"/>
          <w:szCs w:val="24"/>
        </w:rPr>
        <w:footnoteReference w:id="17"/>
      </w:r>
      <w:r w:rsidRPr="00036C0D">
        <w:rPr>
          <w:rFonts w:cs="Times New Roman"/>
          <w:szCs w:val="24"/>
        </w:rPr>
        <w:t xml:space="preserve"> </w:t>
      </w:r>
      <w:r w:rsidR="005A13E6" w:rsidRPr="00036C0D">
        <w:rPr>
          <w:rFonts w:cs="Times New Roman"/>
          <w:szCs w:val="24"/>
        </w:rPr>
        <w:t>A</w:t>
      </w:r>
      <w:r w:rsidRPr="00036C0D">
        <w:rPr>
          <w:rFonts w:cs="Times New Roman"/>
          <w:szCs w:val="24"/>
        </w:rPr>
        <w:t xml:space="preserve"> noção de posse que se impunha sobre o pertencime</w:t>
      </w:r>
      <w:r w:rsidR="005A13E6" w:rsidRPr="00036C0D">
        <w:rPr>
          <w:rFonts w:cs="Times New Roman"/>
          <w:szCs w:val="24"/>
        </w:rPr>
        <w:t>nto da obra aos escritores gerari</w:t>
      </w:r>
      <w:r w:rsidRPr="00036C0D">
        <w:rPr>
          <w:rFonts w:cs="Times New Roman"/>
          <w:szCs w:val="24"/>
        </w:rPr>
        <w:t>a</w:t>
      </w:r>
      <w:r w:rsidR="005A13E6" w:rsidRPr="00036C0D">
        <w:rPr>
          <w:rFonts w:cs="Times New Roman"/>
          <w:szCs w:val="24"/>
        </w:rPr>
        <w:t>, para ele,</w:t>
      </w:r>
      <w:r w:rsidRPr="00036C0D">
        <w:rPr>
          <w:rFonts w:cs="Times New Roman"/>
          <w:szCs w:val="24"/>
        </w:rPr>
        <w:t xml:space="preserve"> dificuldades jurídicas no tratamento da questão, </w:t>
      </w:r>
      <w:r w:rsidR="005A13E6" w:rsidRPr="00036C0D">
        <w:rPr>
          <w:rFonts w:cs="Times New Roman"/>
          <w:szCs w:val="24"/>
        </w:rPr>
        <w:t>além de</w:t>
      </w:r>
      <w:r w:rsidRPr="00036C0D">
        <w:rPr>
          <w:rFonts w:cs="Times New Roman"/>
          <w:szCs w:val="24"/>
        </w:rPr>
        <w:t xml:space="preserve"> ignora</w:t>
      </w:r>
      <w:r w:rsidR="005A13E6" w:rsidRPr="00036C0D">
        <w:rPr>
          <w:rFonts w:cs="Times New Roman"/>
          <w:szCs w:val="24"/>
        </w:rPr>
        <w:t>r</w:t>
      </w:r>
      <w:r w:rsidRPr="00036C0D">
        <w:rPr>
          <w:rFonts w:cs="Times New Roman"/>
          <w:szCs w:val="24"/>
        </w:rPr>
        <w:t xml:space="preserve"> uma gama </w:t>
      </w:r>
      <w:r w:rsidR="005A13E6" w:rsidRPr="00036C0D">
        <w:rPr>
          <w:rFonts w:cs="Times New Roman"/>
          <w:szCs w:val="24"/>
        </w:rPr>
        <w:t>d</w:t>
      </w:r>
      <w:r w:rsidRPr="00036C0D">
        <w:rPr>
          <w:rFonts w:cs="Times New Roman"/>
          <w:szCs w:val="24"/>
        </w:rPr>
        <w:t xml:space="preserve">e direitos implicados na publicação das obras artísticas, para além das literárias. Referia-se às duas dimensões de direito que incidem sobre o problema, uma vez que sendo produto do trabalho dos autores, suas obras constituiriam seu patrimônio, mas também seriam elas provenientes de seu espírito. Analisando opiniões diversas de juristas europeus a respeito da questão dos direitos autorais, Tobias Barreto procurou demonstrar que seria mais </w:t>
      </w:r>
      <w:r w:rsidRPr="00036C0D">
        <w:rPr>
          <w:rFonts w:cs="Times New Roman"/>
          <w:szCs w:val="24"/>
        </w:rPr>
        <w:lastRenderedPageBreak/>
        <w:t xml:space="preserve">apropriado tratar de “direitos” em vez de “propriedade”. </w:t>
      </w:r>
      <w:r w:rsidR="00C12F0B" w:rsidRPr="00036C0D">
        <w:rPr>
          <w:rFonts w:cs="Times New Roman"/>
          <w:szCs w:val="24"/>
        </w:rPr>
        <w:t>O autor f</w:t>
      </w:r>
      <w:r w:rsidRPr="00036C0D">
        <w:rPr>
          <w:rFonts w:cs="Times New Roman"/>
          <w:szCs w:val="24"/>
        </w:rPr>
        <w:t>oi um importante defensor dessa interpretação do direito autoral entre os brasileiros</w:t>
      </w:r>
      <w:r w:rsidR="00C12F0B" w:rsidRPr="00036C0D">
        <w:rPr>
          <w:rFonts w:cs="Times New Roman"/>
          <w:szCs w:val="24"/>
        </w:rPr>
        <w:t>, mas</w:t>
      </w:r>
      <w:r w:rsidRPr="00036C0D">
        <w:rPr>
          <w:rFonts w:cs="Times New Roman"/>
          <w:szCs w:val="24"/>
        </w:rPr>
        <w:t xml:space="preserve"> a polêmica perdurou ainda até as décadas seguintes.</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Onze anos após a proposta de José de Alencar, novamente o legislativo </w:t>
      </w:r>
      <w:r w:rsidR="00F26389" w:rsidRPr="00036C0D">
        <w:rPr>
          <w:rFonts w:cs="Times New Roman"/>
          <w:szCs w:val="24"/>
        </w:rPr>
        <w:t xml:space="preserve">avaliava </w:t>
      </w:r>
      <w:r w:rsidRPr="00036C0D">
        <w:rPr>
          <w:rFonts w:cs="Times New Roman"/>
          <w:szCs w:val="24"/>
        </w:rPr>
        <w:t xml:space="preserve">um projeto de lei relacionado aos direitos de autor, proposto </w:t>
      </w:r>
      <w:r w:rsidR="00F26389" w:rsidRPr="00036C0D">
        <w:rPr>
          <w:rFonts w:cs="Times New Roman"/>
          <w:szCs w:val="24"/>
        </w:rPr>
        <w:t>p</w:t>
      </w:r>
      <w:r w:rsidRPr="00036C0D">
        <w:rPr>
          <w:rFonts w:cs="Times New Roman"/>
          <w:szCs w:val="24"/>
        </w:rPr>
        <w:t>or Diogo Velho Cavalcanti de Albuquerque. Tomando como base a legislação belga e em sintonia com as proposições de Tobias Barreto quanto à denominação da temática como “direitos autorais”, o senador estruturou toda a sua proposta buscando definir e organizar os direitos de autores sobre obras literárias, musicais e plásticas. Nesse movimento, buscava atualizar a discussão, uma vez que o projeto de Alencar era marcado pelas “diferenças de doutrina e direito que o progresso [tinha] trazido”.</w:t>
      </w:r>
      <w:r w:rsidR="007110F1">
        <w:rPr>
          <w:rStyle w:val="Refdenotaderodap"/>
          <w:rFonts w:cs="Times New Roman"/>
          <w:szCs w:val="24"/>
        </w:rPr>
        <w:footnoteReference w:id="18"/>
      </w:r>
      <w:r w:rsidRPr="00036C0D">
        <w:rPr>
          <w:rFonts w:cs="Times New Roman"/>
          <w:szCs w:val="24"/>
        </w:rPr>
        <w:t xml:space="preserve"> Demonstrava, </w:t>
      </w:r>
      <w:r w:rsidR="00F26389" w:rsidRPr="00036C0D">
        <w:rPr>
          <w:rFonts w:cs="Times New Roman"/>
          <w:szCs w:val="24"/>
        </w:rPr>
        <w:t>então</w:t>
      </w:r>
      <w:r w:rsidRPr="00036C0D">
        <w:rPr>
          <w:rFonts w:cs="Times New Roman"/>
          <w:szCs w:val="24"/>
        </w:rPr>
        <w:t>, a preocupação em alcançar todos os criadores de obras estéticas com o objetivo de garantir-lhes o gozo do retorno financeiro e social resul</w:t>
      </w:r>
      <w:r w:rsidR="00F803BC" w:rsidRPr="00036C0D">
        <w:rPr>
          <w:rFonts w:cs="Times New Roman"/>
          <w:szCs w:val="24"/>
        </w:rPr>
        <w:t>tante do consumo de suas obras.</w:t>
      </w:r>
    </w:p>
    <w:p w:rsidR="00404FB6" w:rsidRPr="00036C0D" w:rsidRDefault="00404FB6" w:rsidP="005651A7">
      <w:pPr>
        <w:spacing w:afterLines="40" w:line="480" w:lineRule="auto"/>
        <w:ind w:firstLine="851"/>
        <w:rPr>
          <w:rFonts w:cs="Times New Roman"/>
          <w:szCs w:val="24"/>
        </w:rPr>
      </w:pPr>
      <w:r w:rsidRPr="00036C0D">
        <w:rPr>
          <w:rFonts w:cs="Times New Roman"/>
          <w:szCs w:val="24"/>
        </w:rPr>
        <w:t>Dividido em cinco capítulos, o pro</w:t>
      </w:r>
      <w:r w:rsidR="00F26389" w:rsidRPr="00036C0D">
        <w:rPr>
          <w:rFonts w:cs="Times New Roman"/>
          <w:szCs w:val="24"/>
        </w:rPr>
        <w:t xml:space="preserve">jeto de Diogo Velho tratava do </w:t>
      </w:r>
      <w:r w:rsidRPr="00036C0D">
        <w:rPr>
          <w:rFonts w:cs="Times New Roman"/>
          <w:szCs w:val="24"/>
        </w:rPr>
        <w:t>direito do autor em geral, no capítulo um; do direito de autor sobre obras literárias, no capítulo dois; do direito de autor sobre obras musicais, no terceiro capítulo; e do direito de autor sobre obras plásticas, no quarto. O quinto e último capítulo tratava, por sua vez, da contrafação e das ações previstas para sua repressão. Cada artigo, na verdade, correspondia a um capítulo do projeto, com exceção do artigo sexto, que seguia o artigo anterior no quinto capítulo, dedic</w:t>
      </w:r>
      <w:r w:rsidR="00F26389" w:rsidRPr="00036C0D">
        <w:rPr>
          <w:rFonts w:cs="Times New Roman"/>
          <w:szCs w:val="24"/>
        </w:rPr>
        <w:t>ado à repressão da contrafação. O projeto e</w:t>
      </w:r>
      <w:r w:rsidR="003E53A4" w:rsidRPr="00036C0D">
        <w:rPr>
          <w:rFonts w:cs="Times New Roman"/>
          <w:szCs w:val="24"/>
        </w:rPr>
        <w:t>videnciava</w:t>
      </w:r>
      <w:r w:rsidRPr="00036C0D">
        <w:rPr>
          <w:rFonts w:cs="Times New Roman"/>
          <w:szCs w:val="24"/>
        </w:rPr>
        <w:t xml:space="preserve"> o interesse em definir o que vinha a ser “direito autoral” e organizar como isso se relacionava </w:t>
      </w:r>
      <w:r w:rsidR="00F26389" w:rsidRPr="00036C0D">
        <w:rPr>
          <w:rFonts w:cs="Times New Roman"/>
          <w:szCs w:val="24"/>
        </w:rPr>
        <w:t xml:space="preserve">com </w:t>
      </w:r>
      <w:r w:rsidRPr="00036C0D">
        <w:rPr>
          <w:rFonts w:cs="Times New Roman"/>
          <w:szCs w:val="24"/>
        </w:rPr>
        <w:t>os diferentes tipos de obras artísticas. Após esse esforço eram dispostas as práticas consideradas apropriadas para a repressão das ações que contrariassem tais direitos.</w:t>
      </w:r>
      <w:r w:rsidR="00F26389" w:rsidRPr="00036C0D">
        <w:rPr>
          <w:rFonts w:cs="Times New Roman"/>
          <w:szCs w:val="24"/>
        </w:rPr>
        <w:t xml:space="preserve"> </w:t>
      </w:r>
      <w:r w:rsidRPr="00036C0D">
        <w:rPr>
          <w:rFonts w:cs="Times New Roman"/>
          <w:szCs w:val="24"/>
        </w:rPr>
        <w:t xml:space="preserve">Como de resto ocorreu nos projetos anteriores, Diogo Velho respondia questões </w:t>
      </w:r>
      <w:r w:rsidR="00265C87" w:rsidRPr="00036C0D">
        <w:rPr>
          <w:rFonts w:cs="Times New Roman"/>
          <w:szCs w:val="24"/>
        </w:rPr>
        <w:t>entre as</w:t>
      </w:r>
      <w:r w:rsidRPr="00036C0D">
        <w:rPr>
          <w:rFonts w:cs="Times New Roman"/>
          <w:szCs w:val="24"/>
        </w:rPr>
        <w:t xml:space="preserve"> </w:t>
      </w:r>
      <w:r w:rsidR="00265C87" w:rsidRPr="00036C0D">
        <w:rPr>
          <w:rFonts w:cs="Times New Roman"/>
          <w:szCs w:val="24"/>
        </w:rPr>
        <w:t xml:space="preserve">mais </w:t>
      </w:r>
      <w:r w:rsidRPr="00036C0D">
        <w:rPr>
          <w:rFonts w:cs="Times New Roman"/>
          <w:szCs w:val="24"/>
        </w:rPr>
        <w:t>discu</w:t>
      </w:r>
      <w:r w:rsidR="00265C87" w:rsidRPr="00036C0D">
        <w:rPr>
          <w:rFonts w:cs="Times New Roman"/>
          <w:szCs w:val="24"/>
        </w:rPr>
        <w:t>tidas em relação a</w:t>
      </w:r>
      <w:r w:rsidRPr="00036C0D">
        <w:rPr>
          <w:rFonts w:cs="Times New Roman"/>
          <w:szCs w:val="24"/>
        </w:rPr>
        <w:t xml:space="preserve">os direitos autorais. Estabeleceu logo no primeiro artigo a duração do gozo desse direito enquanto o autor vivesse, e mais cinquenta anos após sua morte. Tratava ainda das obras </w:t>
      </w:r>
      <w:r w:rsidRPr="00036C0D">
        <w:rPr>
          <w:rFonts w:cs="Times New Roman"/>
          <w:szCs w:val="24"/>
        </w:rPr>
        <w:lastRenderedPageBreak/>
        <w:t>colaborativas</w:t>
      </w:r>
      <w:r w:rsidR="00265C87" w:rsidRPr="00036C0D">
        <w:rPr>
          <w:rFonts w:cs="Times New Roman"/>
          <w:szCs w:val="24"/>
        </w:rPr>
        <w:t xml:space="preserve"> ou</w:t>
      </w:r>
      <w:r w:rsidRPr="00036C0D">
        <w:rPr>
          <w:rFonts w:cs="Times New Roman"/>
          <w:szCs w:val="24"/>
        </w:rPr>
        <w:t xml:space="preserve"> anônimas bem como das traduções. Em todos os casos, </w:t>
      </w:r>
      <w:r w:rsidR="00265C87" w:rsidRPr="00036C0D">
        <w:rPr>
          <w:rFonts w:cs="Times New Roman"/>
          <w:szCs w:val="24"/>
        </w:rPr>
        <w:t xml:space="preserve">procurou </w:t>
      </w:r>
      <w:r w:rsidRPr="00036C0D">
        <w:rPr>
          <w:rFonts w:cs="Times New Roman"/>
          <w:szCs w:val="24"/>
        </w:rPr>
        <w:t>garantir as maiores garantias possíveis</w:t>
      </w:r>
      <w:r w:rsidR="00265C87" w:rsidRPr="00036C0D">
        <w:rPr>
          <w:rFonts w:cs="Times New Roman"/>
          <w:szCs w:val="24"/>
        </w:rPr>
        <w:t>.</w:t>
      </w:r>
    </w:p>
    <w:p w:rsidR="00404FB6" w:rsidRPr="00036C0D" w:rsidRDefault="00F26389" w:rsidP="005651A7">
      <w:pPr>
        <w:spacing w:afterLines="40" w:line="480" w:lineRule="auto"/>
        <w:ind w:firstLine="851"/>
        <w:rPr>
          <w:rFonts w:cs="Times New Roman"/>
          <w:szCs w:val="24"/>
        </w:rPr>
      </w:pPr>
      <w:r w:rsidRPr="00036C0D">
        <w:rPr>
          <w:rFonts w:cs="Times New Roman"/>
          <w:szCs w:val="24"/>
        </w:rPr>
        <w:t>O</w:t>
      </w:r>
      <w:r w:rsidR="00404FB6" w:rsidRPr="00036C0D">
        <w:rPr>
          <w:rFonts w:cs="Times New Roman"/>
          <w:szCs w:val="24"/>
        </w:rPr>
        <w:t xml:space="preserve"> texto apresentado trazia também importantes “notas explicativas”. Nelas, o </w:t>
      </w:r>
      <w:r w:rsidR="00265C87" w:rsidRPr="00036C0D">
        <w:rPr>
          <w:rFonts w:cs="Times New Roman"/>
          <w:szCs w:val="24"/>
        </w:rPr>
        <w:t>legislador</w:t>
      </w:r>
      <w:r w:rsidR="00404FB6" w:rsidRPr="00036C0D">
        <w:rPr>
          <w:rFonts w:cs="Times New Roman"/>
          <w:szCs w:val="24"/>
        </w:rPr>
        <w:t xml:space="preserve"> buscou evidenciar as bases utilizadas </w:t>
      </w:r>
      <w:r w:rsidR="00265C87" w:rsidRPr="00036C0D">
        <w:rPr>
          <w:rFonts w:cs="Times New Roman"/>
          <w:szCs w:val="24"/>
        </w:rPr>
        <w:t>n</w:t>
      </w:r>
      <w:r w:rsidR="00404FB6" w:rsidRPr="00036C0D">
        <w:rPr>
          <w:rFonts w:cs="Times New Roman"/>
          <w:szCs w:val="24"/>
        </w:rPr>
        <w:t>a redação</w:t>
      </w:r>
      <w:r w:rsidR="00265C87" w:rsidRPr="00036C0D">
        <w:rPr>
          <w:rFonts w:cs="Times New Roman"/>
          <w:szCs w:val="24"/>
        </w:rPr>
        <w:t xml:space="preserve"> do projeto</w:t>
      </w:r>
      <w:r w:rsidR="00404FB6" w:rsidRPr="00036C0D">
        <w:rPr>
          <w:rFonts w:cs="Times New Roman"/>
          <w:szCs w:val="24"/>
        </w:rPr>
        <w:t>. Sobre o primeiro capítulo, Diogo Velho expôs algumas correntes do direito que interpretaram de formas diferentes a natureza e extensão dos direitos autorais com o passar dos anos. Para tanto, comparou as tradições do direito francês e alemão</w:t>
      </w:r>
      <w:r w:rsidR="00265C87" w:rsidRPr="00036C0D">
        <w:rPr>
          <w:rFonts w:cs="Times New Roman"/>
          <w:szCs w:val="24"/>
        </w:rPr>
        <w:t>:</w:t>
      </w:r>
      <w:r w:rsidR="00404FB6" w:rsidRPr="00036C0D">
        <w:rPr>
          <w:rFonts w:cs="Times New Roman"/>
          <w:szCs w:val="24"/>
        </w:rPr>
        <w:t xml:space="preserve"> </w:t>
      </w:r>
      <w:r w:rsidR="00265C87" w:rsidRPr="00036C0D">
        <w:rPr>
          <w:rFonts w:cs="Times New Roman"/>
          <w:szCs w:val="24"/>
        </w:rPr>
        <w:t>d</w:t>
      </w:r>
      <w:r w:rsidR="00404FB6" w:rsidRPr="00036C0D">
        <w:rPr>
          <w:rFonts w:cs="Times New Roman"/>
          <w:szCs w:val="24"/>
        </w:rPr>
        <w:t>a primeira tradição comentou que seria mais propensa a interpretar o domínio autoral sobre suas obras como um verdadeiro direito de propriedade, similar ao proprietário de terras que delas podia dispor</w:t>
      </w:r>
      <w:r w:rsidR="00265C87" w:rsidRPr="00036C0D">
        <w:rPr>
          <w:rFonts w:cs="Times New Roman"/>
          <w:szCs w:val="24"/>
        </w:rPr>
        <w:t>; n</w:t>
      </w:r>
      <w:r w:rsidR="00404FB6" w:rsidRPr="00036C0D">
        <w:rPr>
          <w:rFonts w:cs="Times New Roman"/>
          <w:szCs w:val="24"/>
        </w:rPr>
        <w:t xml:space="preserve">o caso alemão, </w:t>
      </w:r>
      <w:r w:rsidR="00265C87" w:rsidRPr="00036C0D">
        <w:rPr>
          <w:rFonts w:cs="Times New Roman"/>
          <w:szCs w:val="24"/>
        </w:rPr>
        <w:t xml:space="preserve">comentou que </w:t>
      </w:r>
      <w:r w:rsidR="00404FB6" w:rsidRPr="00036C0D">
        <w:rPr>
          <w:rFonts w:cs="Times New Roman"/>
          <w:szCs w:val="24"/>
        </w:rPr>
        <w:t>o direito de autor consistiria antes numa concessão da lei, uma graça mais pendente ao privilégio. Passou também em revista jurisconsultos belgas, para os quais os direitos de autor constituíam novo tipo de direito que</w:t>
      </w:r>
      <w:r w:rsidRPr="00036C0D">
        <w:rPr>
          <w:rFonts w:cs="Times New Roman"/>
          <w:szCs w:val="24"/>
        </w:rPr>
        <w:t>,</w:t>
      </w:r>
      <w:r w:rsidR="00404FB6" w:rsidRPr="00036C0D">
        <w:rPr>
          <w:rFonts w:cs="Times New Roman"/>
          <w:szCs w:val="24"/>
        </w:rPr>
        <w:t xml:space="preserve"> além das manifestações literárias e artísticas, </w:t>
      </w:r>
      <w:r w:rsidRPr="00036C0D">
        <w:rPr>
          <w:rFonts w:cs="Times New Roman"/>
          <w:szCs w:val="24"/>
        </w:rPr>
        <w:t xml:space="preserve">protegia </w:t>
      </w:r>
      <w:r w:rsidR="00404FB6" w:rsidRPr="00036C0D">
        <w:rPr>
          <w:rFonts w:cs="Times New Roman"/>
          <w:szCs w:val="24"/>
        </w:rPr>
        <w:t>as inovações científicas, as marcas de fábrica, os plan</w:t>
      </w:r>
      <w:r w:rsidR="00F803BC" w:rsidRPr="00036C0D">
        <w:rPr>
          <w:rFonts w:cs="Times New Roman"/>
          <w:szCs w:val="24"/>
        </w:rPr>
        <w:t>os de construção, entre outros.</w:t>
      </w:r>
    </w:p>
    <w:p w:rsidR="00192D6D" w:rsidRPr="00036C0D" w:rsidRDefault="00404FB6" w:rsidP="005651A7">
      <w:pPr>
        <w:spacing w:afterLines="40" w:line="480" w:lineRule="auto"/>
        <w:ind w:firstLine="851"/>
        <w:rPr>
          <w:rFonts w:cs="Times New Roman"/>
          <w:szCs w:val="24"/>
        </w:rPr>
      </w:pPr>
      <w:r w:rsidRPr="00036C0D">
        <w:rPr>
          <w:rFonts w:cs="Times New Roman"/>
          <w:szCs w:val="24"/>
        </w:rPr>
        <w:t>Seguindo sua exposição,</w:t>
      </w:r>
      <w:r w:rsidR="00EA0484" w:rsidRPr="00036C0D">
        <w:rPr>
          <w:rFonts w:cs="Times New Roman"/>
          <w:szCs w:val="24"/>
        </w:rPr>
        <w:t xml:space="preserve"> o documento</w:t>
      </w:r>
      <w:r w:rsidRPr="00036C0D">
        <w:rPr>
          <w:rFonts w:cs="Times New Roman"/>
          <w:szCs w:val="24"/>
        </w:rPr>
        <w:t xml:space="preserve"> destaca a centralidade do trabalho do autor no estabelecimento de seu direito sobre aquilo que produziu, afirmando que a “causa legítima da apropriação é o trabalho do homem</w:t>
      </w:r>
      <w:r w:rsidR="004526FA" w:rsidRPr="00036C0D">
        <w:rPr>
          <w:rFonts w:cs="Times New Roman"/>
          <w:szCs w:val="24"/>
        </w:rPr>
        <w:t>”</w:t>
      </w:r>
      <w:r w:rsidRPr="00036C0D">
        <w:rPr>
          <w:rFonts w:cs="Times New Roman"/>
          <w:szCs w:val="24"/>
        </w:rPr>
        <w:t>.</w:t>
      </w:r>
      <w:r w:rsidR="007110F1">
        <w:rPr>
          <w:rStyle w:val="Refdenotaderodap"/>
          <w:rFonts w:cs="Times New Roman"/>
          <w:szCs w:val="24"/>
        </w:rPr>
        <w:footnoteReference w:id="19"/>
      </w:r>
      <w:r w:rsidRPr="00036C0D">
        <w:rPr>
          <w:rFonts w:cs="Times New Roman"/>
          <w:szCs w:val="24"/>
        </w:rPr>
        <w:t xml:space="preserve"> Este fator define a possibilidade de criar sobre os textos um direito de propriedade. Sobre esse aspecto, o </w:t>
      </w:r>
      <w:r w:rsidR="00EA0484" w:rsidRPr="00036C0D">
        <w:rPr>
          <w:rFonts w:cs="Times New Roman"/>
          <w:szCs w:val="24"/>
        </w:rPr>
        <w:t>senador</w:t>
      </w:r>
      <w:r w:rsidRPr="00036C0D">
        <w:rPr>
          <w:rFonts w:cs="Times New Roman"/>
          <w:szCs w:val="24"/>
        </w:rPr>
        <w:t xml:space="preserve"> se det</w:t>
      </w:r>
      <w:r w:rsidR="00EA0484" w:rsidRPr="00036C0D">
        <w:rPr>
          <w:rFonts w:cs="Times New Roman"/>
          <w:szCs w:val="24"/>
        </w:rPr>
        <w:t>eve</w:t>
      </w:r>
      <w:r w:rsidRPr="00036C0D">
        <w:rPr>
          <w:rFonts w:cs="Times New Roman"/>
          <w:szCs w:val="24"/>
        </w:rPr>
        <w:t xml:space="preserve"> para demonstrar a argumentação contrária ao direito análogo ao da propriedade exercido sobre obras intelectuais</w:t>
      </w:r>
      <w:r w:rsidR="00265C87" w:rsidRPr="00036C0D">
        <w:rPr>
          <w:rFonts w:cs="Times New Roman"/>
          <w:szCs w:val="24"/>
        </w:rPr>
        <w:t xml:space="preserve">. </w:t>
      </w:r>
      <w:r w:rsidRPr="00036C0D">
        <w:rPr>
          <w:rFonts w:cs="Times New Roman"/>
          <w:szCs w:val="24"/>
        </w:rPr>
        <w:t>Valorizando, portanto, a ação criadora do autor, aproxima os direitos autorais daqueles voltados às propriedades territoriais</w:t>
      </w:r>
      <w:r w:rsidR="00EA0484" w:rsidRPr="00036C0D">
        <w:rPr>
          <w:rFonts w:cs="Times New Roman"/>
          <w:szCs w:val="24"/>
        </w:rPr>
        <w:t>, d</w:t>
      </w:r>
      <w:r w:rsidRPr="00036C0D">
        <w:rPr>
          <w:rFonts w:cs="Times New Roman"/>
          <w:szCs w:val="24"/>
        </w:rPr>
        <w:t>emonstra</w:t>
      </w:r>
      <w:r w:rsidR="00EA0484" w:rsidRPr="00036C0D">
        <w:rPr>
          <w:rFonts w:cs="Times New Roman"/>
          <w:szCs w:val="24"/>
        </w:rPr>
        <w:t>ndo</w:t>
      </w:r>
      <w:r w:rsidRPr="00036C0D">
        <w:rPr>
          <w:rFonts w:cs="Times New Roman"/>
          <w:szCs w:val="24"/>
        </w:rPr>
        <w:t xml:space="preserve"> que a controvérsia não t</w:t>
      </w:r>
      <w:r w:rsidR="00EA0484" w:rsidRPr="00036C0D">
        <w:rPr>
          <w:rFonts w:cs="Times New Roman"/>
          <w:szCs w:val="24"/>
        </w:rPr>
        <w:t>eria</w:t>
      </w:r>
      <w:r w:rsidRPr="00036C0D">
        <w:rPr>
          <w:rFonts w:cs="Times New Roman"/>
          <w:szCs w:val="24"/>
        </w:rPr>
        <w:t xml:space="preserve"> relação com os direitos exercidos sobre as obras ou sobre as terras. </w:t>
      </w:r>
      <w:r w:rsidR="00EA0484" w:rsidRPr="00036C0D">
        <w:rPr>
          <w:rFonts w:cs="Times New Roman"/>
          <w:szCs w:val="24"/>
        </w:rPr>
        <w:t xml:space="preserve">Existiriam, apenas, </w:t>
      </w:r>
      <w:r w:rsidRPr="00036C0D">
        <w:rPr>
          <w:rFonts w:cs="Times New Roman"/>
          <w:szCs w:val="24"/>
        </w:rPr>
        <w:t xml:space="preserve">diferenças inerentes aos objetos do direito e não a este. Dessa maneira, Diogo Velho questiona se seria possível, </w:t>
      </w:r>
      <w:r w:rsidR="00EA0484" w:rsidRPr="00036C0D">
        <w:rPr>
          <w:rFonts w:cs="Times New Roman"/>
          <w:szCs w:val="24"/>
        </w:rPr>
        <w:t xml:space="preserve">como </w:t>
      </w:r>
      <w:r w:rsidRPr="00036C0D">
        <w:rPr>
          <w:rFonts w:cs="Times New Roman"/>
          <w:szCs w:val="24"/>
        </w:rPr>
        <w:t xml:space="preserve">ocorre </w:t>
      </w:r>
      <w:r w:rsidR="00EA0484" w:rsidRPr="00036C0D">
        <w:rPr>
          <w:rFonts w:cs="Times New Roman"/>
          <w:szCs w:val="24"/>
        </w:rPr>
        <w:t>n</w:t>
      </w:r>
      <w:r w:rsidRPr="00036C0D">
        <w:rPr>
          <w:rFonts w:cs="Times New Roman"/>
          <w:szCs w:val="24"/>
        </w:rPr>
        <w:t xml:space="preserve">o direito sobre terras, </w:t>
      </w:r>
      <w:proofErr w:type="gramStart"/>
      <w:r w:rsidRPr="00036C0D">
        <w:rPr>
          <w:rFonts w:cs="Times New Roman"/>
          <w:szCs w:val="24"/>
        </w:rPr>
        <w:t>dispor</w:t>
      </w:r>
      <w:proofErr w:type="gramEnd"/>
      <w:r w:rsidRPr="00036C0D">
        <w:rPr>
          <w:rFonts w:cs="Times New Roman"/>
          <w:szCs w:val="24"/>
        </w:rPr>
        <w:t xml:space="preserve"> e gozar das obras artísticas e literárias, ao que prontamente responde que sim e ainda destaca: “a diferença consiste apenas no modo: as concepções intelectuais não podem, certamente, ser usadas </w:t>
      </w:r>
      <w:r w:rsidRPr="00036C0D">
        <w:rPr>
          <w:rFonts w:cs="Times New Roman"/>
          <w:szCs w:val="24"/>
        </w:rPr>
        <w:lastRenderedPageBreak/>
        <w:t>ou empregadas como as coisas materiais</w:t>
      </w:r>
      <w:r w:rsidR="004526FA" w:rsidRPr="00036C0D">
        <w:rPr>
          <w:rFonts w:cs="Times New Roman"/>
          <w:szCs w:val="24"/>
        </w:rPr>
        <w:t>”</w:t>
      </w:r>
      <w:r w:rsidRPr="00036C0D">
        <w:rPr>
          <w:rFonts w:cs="Times New Roman"/>
          <w:szCs w:val="24"/>
        </w:rPr>
        <w:t>.</w:t>
      </w:r>
      <w:r w:rsidR="007110F1">
        <w:rPr>
          <w:rStyle w:val="Refdenotaderodap"/>
          <w:rFonts w:cs="Times New Roman"/>
          <w:szCs w:val="24"/>
        </w:rPr>
        <w:footnoteReference w:id="20"/>
      </w:r>
      <w:r w:rsidRPr="00036C0D">
        <w:rPr>
          <w:rFonts w:cs="Times New Roman"/>
          <w:szCs w:val="24"/>
        </w:rPr>
        <w:t xml:space="preserve"> Seja no modo, seja na coisa, fato é que, segundo o </w:t>
      </w:r>
      <w:r w:rsidR="00EA0484" w:rsidRPr="00036C0D">
        <w:rPr>
          <w:rFonts w:cs="Times New Roman"/>
          <w:szCs w:val="24"/>
        </w:rPr>
        <w:t>senador</w:t>
      </w:r>
      <w:r w:rsidRPr="00036C0D">
        <w:rPr>
          <w:rFonts w:cs="Times New Roman"/>
          <w:szCs w:val="24"/>
        </w:rPr>
        <w:t>, os direitos os autores os licenciam para dispor dos frutos de sua intelectualidade</w:t>
      </w:r>
      <w:r w:rsidR="00192D6D" w:rsidRPr="00036C0D">
        <w:rPr>
          <w:rFonts w:cs="Times New Roman"/>
          <w:szCs w:val="24"/>
        </w:rPr>
        <w:t>.</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Para Diogo Velho, portanto, o autor exerceria o direito sobre sua obra, ao mesmo tempo, </w:t>
      </w:r>
      <w:r w:rsidR="00192D6D" w:rsidRPr="00036C0D">
        <w:rPr>
          <w:rFonts w:cs="Times New Roman"/>
          <w:szCs w:val="24"/>
        </w:rPr>
        <w:t>vale</w:t>
      </w:r>
      <w:r w:rsidRPr="00036C0D">
        <w:rPr>
          <w:rFonts w:cs="Times New Roman"/>
          <w:szCs w:val="24"/>
        </w:rPr>
        <w:t xml:space="preserve">ndo-se da liberdade para dela tirar o possível proveito material pela publicação, apresentação ou qualquer outro meio de aproveitamento pecuniário de sua invenção e, por outro lado, resguardando para si as consequências do reconhecimento da beleza ou da utilidade de seu trabalho. As explicações do capítulo primeiro estendem-se um pouco mais, mas não avançam sobre questões tão complexas quanto </w:t>
      </w:r>
      <w:proofErr w:type="gramStart"/>
      <w:r w:rsidRPr="00036C0D">
        <w:rPr>
          <w:rFonts w:cs="Times New Roman"/>
          <w:szCs w:val="24"/>
        </w:rPr>
        <w:t>a</w:t>
      </w:r>
      <w:proofErr w:type="gramEnd"/>
      <w:r w:rsidRPr="00036C0D">
        <w:rPr>
          <w:rFonts w:cs="Times New Roman"/>
          <w:szCs w:val="24"/>
        </w:rPr>
        <w:t xml:space="preserve"> definição do direito e dos modos de se</w:t>
      </w:r>
      <w:r w:rsidR="00F803BC" w:rsidRPr="00036C0D">
        <w:rPr>
          <w:rFonts w:cs="Times New Roman"/>
          <w:szCs w:val="24"/>
        </w:rPr>
        <w:t>u aproveitamento pelos autores.</w:t>
      </w:r>
    </w:p>
    <w:p w:rsidR="00404FB6" w:rsidRPr="00036C0D" w:rsidRDefault="00404FB6" w:rsidP="005651A7">
      <w:pPr>
        <w:spacing w:afterLines="40" w:line="480" w:lineRule="auto"/>
        <w:ind w:firstLine="851"/>
        <w:rPr>
          <w:rFonts w:cs="Times New Roman"/>
          <w:szCs w:val="24"/>
        </w:rPr>
      </w:pPr>
      <w:r w:rsidRPr="00036C0D">
        <w:rPr>
          <w:rFonts w:cs="Times New Roman"/>
          <w:szCs w:val="24"/>
        </w:rPr>
        <w:t>De resto, até comentar o último capítulo, referente às punições estabelecidas contra as afrontas ao direito de autor, o texto segue como explicação geral e mais rasa das disposições apresentadas.</w:t>
      </w:r>
      <w:r w:rsidR="00265C87" w:rsidRPr="00036C0D">
        <w:rPr>
          <w:rFonts w:cs="Times New Roman"/>
          <w:szCs w:val="24"/>
        </w:rPr>
        <w:t xml:space="preserve"> A</w:t>
      </w:r>
      <w:r w:rsidRPr="00036C0D">
        <w:rPr>
          <w:rFonts w:cs="Times New Roman"/>
          <w:szCs w:val="24"/>
        </w:rPr>
        <w:t xml:space="preserve">tendo-se ao último capítulo do projeto, o deputado discorre sobre os critérios para definição do que fosse </w:t>
      </w:r>
      <w:proofErr w:type="gramStart"/>
      <w:r w:rsidRPr="00036C0D">
        <w:rPr>
          <w:rFonts w:cs="Times New Roman"/>
          <w:szCs w:val="24"/>
        </w:rPr>
        <w:t>considerado contrafação</w:t>
      </w:r>
      <w:proofErr w:type="gramEnd"/>
      <w:r w:rsidRPr="00036C0D">
        <w:rPr>
          <w:rFonts w:cs="Times New Roman"/>
          <w:szCs w:val="24"/>
        </w:rPr>
        <w:t xml:space="preserve">, trabalho necessário para o estabelecimento de ações punitivas ao delito. Nesse sentido, para que </w:t>
      </w:r>
      <w:r w:rsidR="00265C87" w:rsidRPr="00036C0D">
        <w:rPr>
          <w:rFonts w:cs="Times New Roman"/>
          <w:szCs w:val="24"/>
        </w:rPr>
        <w:t xml:space="preserve">ela existisse, </w:t>
      </w:r>
      <w:r w:rsidRPr="00036C0D">
        <w:rPr>
          <w:rFonts w:cs="Times New Roman"/>
          <w:szCs w:val="24"/>
        </w:rPr>
        <w:t>e</w:t>
      </w:r>
      <w:r w:rsidR="00265C87" w:rsidRPr="00036C0D">
        <w:rPr>
          <w:rFonts w:cs="Times New Roman"/>
          <w:szCs w:val="24"/>
        </w:rPr>
        <w:t>ra</w:t>
      </w:r>
      <w:r w:rsidRPr="00036C0D">
        <w:rPr>
          <w:rFonts w:cs="Times New Roman"/>
          <w:szCs w:val="24"/>
        </w:rPr>
        <w:t xml:space="preserve"> necessário que ocorresse reprodução da obra de qualquer maneira que não observasse o consentimento de seu auto</w:t>
      </w:r>
      <w:r w:rsidR="00265C87" w:rsidRPr="00036C0D">
        <w:rPr>
          <w:rFonts w:cs="Times New Roman"/>
          <w:szCs w:val="24"/>
        </w:rPr>
        <w:t>, mas</w:t>
      </w:r>
      <w:r w:rsidRPr="00036C0D">
        <w:rPr>
          <w:rFonts w:cs="Times New Roman"/>
          <w:szCs w:val="24"/>
        </w:rPr>
        <w:t xml:space="preserve"> apenas poderia ser considerada como delito a ação que causasse prejuízo ao autor, fosse ele material ou moral.</w:t>
      </w:r>
    </w:p>
    <w:p w:rsidR="00832091" w:rsidRPr="00036C0D" w:rsidRDefault="00404FB6" w:rsidP="005651A7">
      <w:pPr>
        <w:spacing w:afterLines="40" w:line="480" w:lineRule="auto"/>
        <w:ind w:firstLine="851"/>
        <w:rPr>
          <w:rFonts w:cs="Times New Roman"/>
          <w:szCs w:val="24"/>
        </w:rPr>
      </w:pPr>
      <w:r w:rsidRPr="00036C0D">
        <w:rPr>
          <w:rFonts w:cs="Times New Roman"/>
          <w:szCs w:val="24"/>
        </w:rPr>
        <w:t xml:space="preserve">O projeto de Diogo Velho, juntamente com suas notas explicativas constituiu importante meio de propagação da discussão relativa aos direitos autorais. Visando disciplinar o mercado literário e artístico, sua iniciativa contribuiu também para demonstrar a existência de tentativas de enquadramento da produção letrada, </w:t>
      </w:r>
      <w:r w:rsidR="00E82FDF" w:rsidRPr="00036C0D">
        <w:rPr>
          <w:rFonts w:cs="Times New Roman"/>
          <w:szCs w:val="24"/>
        </w:rPr>
        <w:t>n</w:t>
      </w:r>
      <w:r w:rsidRPr="00036C0D">
        <w:rPr>
          <w:rFonts w:cs="Times New Roman"/>
          <w:szCs w:val="24"/>
        </w:rPr>
        <w:t>as</w:t>
      </w:r>
      <w:r w:rsidR="00E82FDF" w:rsidRPr="00036C0D">
        <w:rPr>
          <w:rFonts w:cs="Times New Roman"/>
          <w:szCs w:val="24"/>
        </w:rPr>
        <w:t xml:space="preserve"> quais</w:t>
      </w:r>
      <w:r w:rsidRPr="00036C0D">
        <w:rPr>
          <w:rFonts w:cs="Times New Roman"/>
          <w:szCs w:val="24"/>
        </w:rPr>
        <w:t xml:space="preserve"> </w:t>
      </w:r>
      <w:r w:rsidR="00E82FDF" w:rsidRPr="00036C0D">
        <w:rPr>
          <w:rFonts w:cs="Times New Roman"/>
          <w:szCs w:val="24"/>
        </w:rPr>
        <w:t xml:space="preserve">interessava </w:t>
      </w:r>
      <w:r w:rsidRPr="00036C0D">
        <w:rPr>
          <w:rFonts w:cs="Times New Roman"/>
          <w:szCs w:val="24"/>
        </w:rPr>
        <w:t>reforçar os ideais de inovação na produção artística e estabelecer a posição do autor nacional, garantindo-lhe proteção em detrimento dos estrangeiros.</w:t>
      </w:r>
      <w:proofErr w:type="gramStart"/>
      <w:r w:rsidR="00832091" w:rsidRPr="00036C0D">
        <w:rPr>
          <w:rStyle w:val="Refdenotaderodap"/>
          <w:rFonts w:cs="Times New Roman"/>
          <w:szCs w:val="24"/>
        </w:rPr>
        <w:footnoteReference w:id="21"/>
      </w:r>
      <w:proofErr w:type="gramEnd"/>
    </w:p>
    <w:p w:rsidR="00404FB6" w:rsidRPr="00036C0D" w:rsidRDefault="00404FB6" w:rsidP="005651A7">
      <w:pPr>
        <w:spacing w:afterLines="40" w:line="480" w:lineRule="auto"/>
        <w:ind w:firstLine="851"/>
        <w:rPr>
          <w:rFonts w:cs="Times New Roman"/>
          <w:szCs w:val="24"/>
        </w:rPr>
      </w:pPr>
      <w:r w:rsidRPr="00036C0D">
        <w:rPr>
          <w:rFonts w:cs="Times New Roman"/>
          <w:szCs w:val="24"/>
        </w:rPr>
        <w:lastRenderedPageBreak/>
        <w:t xml:space="preserve">Após indicação de Benjamin Constant para o Ministério da Instrução Pública, em 1890, o jornalista e escritor Pardal Mallet publicou uma carta aberta ao novo ministro tratando de questões relativas ao direito autoral. </w:t>
      </w:r>
      <w:r w:rsidR="00E82FDF" w:rsidRPr="00036C0D">
        <w:rPr>
          <w:rFonts w:cs="Times New Roman"/>
          <w:szCs w:val="24"/>
        </w:rPr>
        <w:t>D</w:t>
      </w:r>
      <w:r w:rsidRPr="00036C0D">
        <w:rPr>
          <w:rFonts w:cs="Times New Roman"/>
          <w:szCs w:val="24"/>
        </w:rPr>
        <w:t>ividida em seis partes</w:t>
      </w:r>
      <w:r w:rsidR="00E82FDF" w:rsidRPr="00036C0D">
        <w:rPr>
          <w:rFonts w:cs="Times New Roman"/>
          <w:szCs w:val="24"/>
        </w:rPr>
        <w:t>, a carta</w:t>
      </w:r>
      <w:r w:rsidRPr="00036C0D">
        <w:rPr>
          <w:rFonts w:cs="Times New Roman"/>
          <w:szCs w:val="24"/>
        </w:rPr>
        <w:t xml:space="preserve"> registrava a opinião do escritor a respeito da regulação da </w:t>
      </w:r>
      <w:r w:rsidR="00E82FDF" w:rsidRPr="00036C0D">
        <w:rPr>
          <w:rFonts w:cs="Times New Roman"/>
          <w:szCs w:val="24"/>
        </w:rPr>
        <w:t xml:space="preserve">atividade literária no </w:t>
      </w:r>
      <w:r w:rsidRPr="00036C0D">
        <w:rPr>
          <w:rFonts w:cs="Times New Roman"/>
          <w:szCs w:val="24"/>
        </w:rPr>
        <w:t xml:space="preserve">Brasil, tocando questões como o retorno pecuniário aos </w:t>
      </w:r>
      <w:r w:rsidR="00E82FDF" w:rsidRPr="00036C0D">
        <w:rPr>
          <w:rFonts w:cs="Times New Roman"/>
          <w:szCs w:val="24"/>
        </w:rPr>
        <w:t>aut</w:t>
      </w:r>
      <w:r w:rsidRPr="00036C0D">
        <w:rPr>
          <w:rFonts w:cs="Times New Roman"/>
          <w:szCs w:val="24"/>
        </w:rPr>
        <w:t>ores e considerando os plágios como uma atitude que enfraquecia a cultura nacional. Segundo Mallet, os direitos autorais, que distingue do termo propriedade literária, constituíam a forma mais correta para tratar as garantias ao sustento dos literatos.</w:t>
      </w:r>
      <w:r w:rsidR="00E82FDF" w:rsidRPr="00036C0D">
        <w:rPr>
          <w:rFonts w:cs="Times New Roman"/>
          <w:szCs w:val="24"/>
        </w:rPr>
        <w:t xml:space="preserve"> Mallet, se opondo ao posicionamento combatido também por Alencar, em 1875, defendia que na </w:t>
      </w:r>
      <w:r w:rsidRPr="00036C0D">
        <w:rPr>
          <w:rFonts w:cs="Times New Roman"/>
          <w:szCs w:val="24"/>
        </w:rPr>
        <w:t>doutrina do direito autoral, com a substituição defendida do conceito de propriedade pelo de trabalho, o esforço artístico emergiria como uma atividade como outra qualquer, necessária e proveitosa à coletividade, mas que deve</w:t>
      </w:r>
      <w:r w:rsidR="00192D6D" w:rsidRPr="00036C0D">
        <w:rPr>
          <w:rFonts w:cs="Times New Roman"/>
          <w:szCs w:val="24"/>
        </w:rPr>
        <w:t xml:space="preserve">ria primeiramente aproveitar ao </w:t>
      </w:r>
      <w:r w:rsidRPr="00036C0D">
        <w:rPr>
          <w:rFonts w:cs="Times New Roman"/>
          <w:szCs w:val="24"/>
        </w:rPr>
        <w:t>trabalhador. Com essa elaboração</w:t>
      </w:r>
      <w:r w:rsidR="00E82FDF" w:rsidRPr="00036C0D">
        <w:rPr>
          <w:rFonts w:cs="Times New Roman"/>
          <w:szCs w:val="24"/>
        </w:rPr>
        <w:t>,</w:t>
      </w:r>
      <w:r w:rsidRPr="00036C0D">
        <w:rPr>
          <w:rFonts w:cs="Times New Roman"/>
          <w:szCs w:val="24"/>
        </w:rPr>
        <w:t xml:space="preserve"> procurou acomodar as questões polêmicas relacionadas à retribuição pecuniária ao esforço do artista, procurando solucionar os problemas enfrentados por diversos literatos brasile</w:t>
      </w:r>
      <w:r w:rsidR="00E82FDF" w:rsidRPr="00036C0D">
        <w:rPr>
          <w:rFonts w:cs="Times New Roman"/>
          <w:szCs w:val="24"/>
        </w:rPr>
        <w:t>iros quanto a sua subsistência.</w:t>
      </w:r>
    </w:p>
    <w:p w:rsidR="00404FB6" w:rsidRPr="00036C0D" w:rsidRDefault="00404FB6" w:rsidP="005651A7">
      <w:pPr>
        <w:spacing w:afterLines="40" w:line="480" w:lineRule="auto"/>
        <w:ind w:firstLine="851"/>
        <w:rPr>
          <w:rFonts w:cs="Times New Roman"/>
          <w:szCs w:val="24"/>
        </w:rPr>
      </w:pPr>
      <w:r w:rsidRPr="00036C0D">
        <w:rPr>
          <w:rFonts w:cs="Times New Roman"/>
          <w:szCs w:val="24"/>
        </w:rPr>
        <w:t>Para o escritor, era da falta de compreensão da justiça dessa retribuição que se originavam os problemas das classes artísticas do país</w:t>
      </w:r>
      <w:r w:rsidR="00192D6D" w:rsidRPr="00036C0D">
        <w:rPr>
          <w:rFonts w:cs="Times New Roman"/>
          <w:szCs w:val="24"/>
        </w:rPr>
        <w:t>, m</w:t>
      </w:r>
      <w:r w:rsidRPr="00036C0D">
        <w:rPr>
          <w:rFonts w:cs="Times New Roman"/>
          <w:szCs w:val="24"/>
        </w:rPr>
        <w:t xml:space="preserve">as nada era tão danoso quanto </w:t>
      </w:r>
      <w:proofErr w:type="gramStart"/>
      <w:r w:rsidRPr="00036C0D">
        <w:rPr>
          <w:rFonts w:cs="Times New Roman"/>
          <w:szCs w:val="24"/>
        </w:rPr>
        <w:t>a</w:t>
      </w:r>
      <w:proofErr w:type="gramEnd"/>
      <w:r w:rsidRPr="00036C0D">
        <w:rPr>
          <w:rFonts w:cs="Times New Roman"/>
          <w:szCs w:val="24"/>
        </w:rPr>
        <w:t xml:space="preserve"> ausência de um sentido de classe que unisse os trabalhadores das Letras. Nesse sentimento autonomista que ating</w:t>
      </w:r>
      <w:r w:rsidR="00E82FDF" w:rsidRPr="00036C0D">
        <w:rPr>
          <w:rFonts w:cs="Times New Roman"/>
          <w:szCs w:val="24"/>
        </w:rPr>
        <w:t>iria</w:t>
      </w:r>
      <w:r w:rsidRPr="00036C0D">
        <w:rPr>
          <w:rFonts w:cs="Times New Roman"/>
          <w:szCs w:val="24"/>
        </w:rPr>
        <w:t xml:space="preserve"> todos os escritores, Mallet localiza</w:t>
      </w:r>
      <w:r w:rsidR="00E82FDF" w:rsidRPr="00036C0D">
        <w:rPr>
          <w:rFonts w:cs="Times New Roman"/>
          <w:szCs w:val="24"/>
        </w:rPr>
        <w:t>va</w:t>
      </w:r>
      <w:r w:rsidRPr="00036C0D">
        <w:rPr>
          <w:rFonts w:cs="Times New Roman"/>
          <w:szCs w:val="24"/>
        </w:rPr>
        <w:t xml:space="preserve"> “uma manifestação inconsciente da superioridade intelectual do artista”,</w:t>
      </w:r>
      <w:r w:rsidR="007110F1">
        <w:rPr>
          <w:rStyle w:val="Refdenotaderodap"/>
          <w:rFonts w:cs="Times New Roman"/>
          <w:szCs w:val="24"/>
        </w:rPr>
        <w:footnoteReference w:id="22"/>
      </w:r>
      <w:r w:rsidRPr="00036C0D">
        <w:rPr>
          <w:rFonts w:cs="Times New Roman"/>
          <w:szCs w:val="24"/>
        </w:rPr>
        <w:t xml:space="preserve"> um reforço de imposição da originalidade individual, poderíamos dizer. Nesse sentido, um dos pilares da nova organização do campo literário causava um dos principais problemas à afirmação da atividade autoral. O escritor considerou serem naturais, portanto, as dificuldades enfrentadas para a formação de associações de artistas no Brasil, concluindo que o individualismo constituía o centro da questão. Uma vez que o ego constitui uma dimensão bastante importante nas disputas relativas ao direito autoral, é interessante atentar para sua relevância negativa sobre a montagem de iniciativas associativas que fortaleceriam, ao menos em teoria, as garantias relacionadas ao trabalho intelectual.</w:t>
      </w:r>
      <w:r w:rsidR="00196711" w:rsidRPr="00036C0D">
        <w:rPr>
          <w:rFonts w:cs="Times New Roman"/>
          <w:szCs w:val="24"/>
        </w:rPr>
        <w:t xml:space="preserve"> </w:t>
      </w:r>
      <w:r w:rsidR="00A7741D" w:rsidRPr="00036C0D">
        <w:rPr>
          <w:rFonts w:cs="Times New Roman"/>
          <w:szCs w:val="24"/>
        </w:rPr>
        <w:t>Era</w:t>
      </w:r>
      <w:r w:rsidRPr="00036C0D">
        <w:rPr>
          <w:rFonts w:cs="Times New Roman"/>
          <w:szCs w:val="24"/>
        </w:rPr>
        <w:t xml:space="preserve"> claro seu objetivo de afirmar serem todos </w:t>
      </w:r>
      <w:r w:rsidRPr="00036C0D">
        <w:rPr>
          <w:rFonts w:cs="Times New Roman"/>
          <w:szCs w:val="24"/>
        </w:rPr>
        <w:lastRenderedPageBreak/>
        <w:t xml:space="preserve">operários das Letras, centralizando a questão sobre o trabalho que </w:t>
      </w:r>
      <w:proofErr w:type="gramStart"/>
      <w:r w:rsidRPr="00036C0D">
        <w:rPr>
          <w:rFonts w:cs="Times New Roman"/>
          <w:szCs w:val="24"/>
        </w:rPr>
        <w:t>realiza</w:t>
      </w:r>
      <w:r w:rsidR="00196711" w:rsidRPr="00036C0D">
        <w:rPr>
          <w:rFonts w:cs="Times New Roman"/>
          <w:szCs w:val="24"/>
        </w:rPr>
        <w:t>va</w:t>
      </w:r>
      <w:r w:rsidRPr="00036C0D">
        <w:rPr>
          <w:rFonts w:cs="Times New Roman"/>
          <w:szCs w:val="24"/>
        </w:rPr>
        <w:t>m,</w:t>
      </w:r>
      <w:proofErr w:type="gramEnd"/>
      <w:r w:rsidRPr="00036C0D">
        <w:rPr>
          <w:rFonts w:cs="Times New Roman"/>
          <w:szCs w:val="24"/>
        </w:rPr>
        <w:t xml:space="preserve"> pelo qual deve</w:t>
      </w:r>
      <w:r w:rsidR="004526FA" w:rsidRPr="00036C0D">
        <w:rPr>
          <w:rFonts w:cs="Times New Roman"/>
          <w:szCs w:val="24"/>
        </w:rPr>
        <w:t>ria</w:t>
      </w:r>
      <w:r w:rsidRPr="00036C0D">
        <w:rPr>
          <w:rFonts w:cs="Times New Roman"/>
          <w:szCs w:val="24"/>
        </w:rPr>
        <w:t xml:space="preserve">m ser remunerados. Nesse sentido, </w:t>
      </w:r>
      <w:r w:rsidR="00196711" w:rsidRPr="00036C0D">
        <w:rPr>
          <w:rFonts w:cs="Times New Roman"/>
          <w:szCs w:val="24"/>
        </w:rPr>
        <w:t>Mallet</w:t>
      </w:r>
      <w:r w:rsidRPr="00036C0D">
        <w:rPr>
          <w:rFonts w:cs="Times New Roman"/>
          <w:szCs w:val="24"/>
        </w:rPr>
        <w:t xml:space="preserve"> buscou demonstrar como diversas profissões envolvidas na indústria livreira careciam de proteção. Sobre traduções ilegais, por exemplo, Mallet destacou a facilidade em apropriar-se de textos estrangeiros. Tal problema gerava o inconveniente de destinar maior esforço para a tradução de obras estrangeiras que para a criação brasileira de obras originais. Outro problema eram os chamados “trabalhos de tesoura”,</w:t>
      </w:r>
      <w:r w:rsidR="007110F1">
        <w:rPr>
          <w:rStyle w:val="Refdenotaderodap"/>
          <w:rFonts w:cs="Times New Roman"/>
          <w:szCs w:val="24"/>
        </w:rPr>
        <w:footnoteReference w:id="23"/>
      </w:r>
      <w:r w:rsidRPr="00036C0D">
        <w:rPr>
          <w:rFonts w:cs="Times New Roman"/>
          <w:szCs w:val="24"/>
        </w:rPr>
        <w:t xml:space="preserve"> apropriações indevidas de textos de diversos formatos por jornais brasileiros. Era comum deparar com o reaproveitamento de artigos de outros jornais ou mesmo a republicação sem referências, por não haver leis que assegurassem direitos autorais. O tema foi, aliás, tratado pela maioria dos projetos de lei apresentados desde </w:t>
      </w:r>
      <w:r w:rsidR="00196711" w:rsidRPr="00036C0D">
        <w:rPr>
          <w:rFonts w:cs="Times New Roman"/>
          <w:szCs w:val="24"/>
        </w:rPr>
        <w:t>a década de 1850</w:t>
      </w:r>
      <w:r w:rsidRPr="00036C0D">
        <w:rPr>
          <w:rFonts w:cs="Times New Roman"/>
          <w:szCs w:val="24"/>
        </w:rPr>
        <w:t>.</w:t>
      </w:r>
      <w:r w:rsidR="00196711" w:rsidRPr="00036C0D">
        <w:rPr>
          <w:rFonts w:cs="Times New Roman"/>
          <w:szCs w:val="24"/>
        </w:rPr>
        <w:t xml:space="preserve"> </w:t>
      </w:r>
      <w:r w:rsidRPr="00036C0D">
        <w:rPr>
          <w:rFonts w:cs="Times New Roman"/>
          <w:szCs w:val="24"/>
        </w:rPr>
        <w:t>Não é possível perseguir até que ponto a carta teve impacto no cenário cultural e afirmar se ela influenciou a definição da legislação seguinte, mas é certo que nela encontra-se registrado o estado das discussões sobre a temática dos direitos autorais no Brasil, ao final do século XIX.</w:t>
      </w:r>
    </w:p>
    <w:p w:rsidR="00404FB6" w:rsidRPr="00036C0D" w:rsidRDefault="00404FB6" w:rsidP="005651A7">
      <w:pPr>
        <w:spacing w:afterLines="40" w:line="480" w:lineRule="auto"/>
        <w:ind w:firstLine="851"/>
        <w:rPr>
          <w:rFonts w:cs="Times New Roman"/>
          <w:szCs w:val="24"/>
        </w:rPr>
      </w:pPr>
      <w:r w:rsidRPr="00036C0D">
        <w:rPr>
          <w:rFonts w:cs="Times New Roman"/>
          <w:szCs w:val="24"/>
        </w:rPr>
        <w:t>No bojo dos debates sobre os direitos dos autores, em 1893, o deputado Augusto Montenegro e o artista Pedro Américo de Figueiredo e Mello apresentaram também cada um a sua proposta de legislação. A contemporaneidade das propostas causou discussões acaloradas em plenário</w:t>
      </w:r>
      <w:r w:rsidR="00832091" w:rsidRPr="00036C0D">
        <w:rPr>
          <w:rStyle w:val="Refdenotaderodap"/>
          <w:rFonts w:cs="Times New Roman"/>
          <w:szCs w:val="24"/>
        </w:rPr>
        <w:footnoteReference w:id="24"/>
      </w:r>
      <w:r w:rsidR="00832091" w:rsidRPr="00036C0D">
        <w:rPr>
          <w:rFonts w:cs="Times New Roman"/>
          <w:szCs w:val="24"/>
        </w:rPr>
        <w:t>,</w:t>
      </w:r>
      <w:r w:rsidRPr="00036C0D">
        <w:rPr>
          <w:rFonts w:cs="Times New Roman"/>
          <w:szCs w:val="24"/>
        </w:rPr>
        <w:t xml:space="preserve"> mas apresentavam diferenças importantes na forma e no conteúdo relacionado à defesa dos direitos autorais. A abordagem comparativa, colocando em confronto propostas distintas, parece-nos útil para ressaltar as principais características de cada um desses projetos.</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O projeto apresentado </w:t>
      </w:r>
      <w:r w:rsidR="00192D6D" w:rsidRPr="00036C0D">
        <w:rPr>
          <w:rFonts w:cs="Times New Roman"/>
          <w:szCs w:val="24"/>
        </w:rPr>
        <w:t>por Pedro Américo</w:t>
      </w:r>
      <w:r w:rsidRPr="00036C0D">
        <w:rPr>
          <w:rFonts w:cs="Times New Roman"/>
          <w:szCs w:val="24"/>
        </w:rPr>
        <w:t xml:space="preserve"> agrupava</w:t>
      </w:r>
      <w:r w:rsidR="00196711" w:rsidRPr="00036C0D">
        <w:rPr>
          <w:rFonts w:cs="Times New Roman"/>
          <w:szCs w:val="24"/>
        </w:rPr>
        <w:t xml:space="preserve"> </w:t>
      </w:r>
      <w:r w:rsidRPr="00036C0D">
        <w:rPr>
          <w:rFonts w:cs="Times New Roman"/>
          <w:szCs w:val="24"/>
        </w:rPr>
        <w:t>seu conhecimento a respeito da questão dos direitos autorai</w:t>
      </w:r>
      <w:r w:rsidR="00196711" w:rsidRPr="00036C0D">
        <w:rPr>
          <w:rFonts w:cs="Times New Roman"/>
          <w:szCs w:val="24"/>
        </w:rPr>
        <w:t>s</w:t>
      </w:r>
      <w:r w:rsidR="00192D6D" w:rsidRPr="00036C0D">
        <w:rPr>
          <w:rFonts w:cs="Times New Roman"/>
          <w:szCs w:val="24"/>
        </w:rPr>
        <w:t>, acumulado em suas participações em congressos e outros eventos ocorridos, principalmente, na França</w:t>
      </w:r>
      <w:r w:rsidR="00A7741D" w:rsidRPr="00036C0D">
        <w:rPr>
          <w:rFonts w:cs="Times New Roman"/>
          <w:szCs w:val="24"/>
        </w:rPr>
        <w:t xml:space="preserve">. </w:t>
      </w:r>
      <w:r w:rsidRPr="00036C0D">
        <w:rPr>
          <w:rFonts w:cs="Times New Roman"/>
          <w:szCs w:val="24"/>
        </w:rPr>
        <w:t xml:space="preserve">Fazendo referência aos projetos anteriores, encaminhados por José de Alencar e Diogo Velho Cavalcanti de Albuquerque, apresentou, então, o seu próprio projeto, pretendendo oferecer uma contribuição que superasse uma mera compilação dos projetos </w:t>
      </w:r>
      <w:r w:rsidRPr="00036C0D">
        <w:rPr>
          <w:rFonts w:cs="Times New Roman"/>
          <w:szCs w:val="24"/>
        </w:rPr>
        <w:lastRenderedPageBreak/>
        <w:t>anteriores. Dois anos antes</w:t>
      </w:r>
      <w:r w:rsidR="00A7741D" w:rsidRPr="00036C0D">
        <w:rPr>
          <w:rFonts w:cs="Times New Roman"/>
          <w:szCs w:val="24"/>
        </w:rPr>
        <w:t>,</w:t>
      </w:r>
      <w:r w:rsidRPr="00036C0D">
        <w:rPr>
          <w:rFonts w:cs="Times New Roman"/>
          <w:szCs w:val="24"/>
        </w:rPr>
        <w:t xml:space="preserve"> os governos de Brasil e França haviam assinado um tratado de proteção à propriedade literária. A convenção não foi, porém, confirmada pela </w:t>
      </w:r>
      <w:r w:rsidRPr="00036C0D">
        <w:rPr>
          <w:rFonts w:cs="Times New Roman"/>
          <w:i/>
          <w:szCs w:val="24"/>
        </w:rPr>
        <w:t>Comissão de Diplomacia e Tratados</w:t>
      </w:r>
      <w:r w:rsidRPr="00036C0D">
        <w:rPr>
          <w:rFonts w:cs="Times New Roman"/>
          <w:szCs w:val="24"/>
        </w:rPr>
        <w:t xml:space="preserve"> do Congresso Nacional brasileiro. Os legisladores, não sem muita discussão, acabaram por rejeitar, em 1893, a assinatura do tratado.</w:t>
      </w:r>
      <w:r w:rsidR="00A7741D" w:rsidRPr="00036C0D">
        <w:rPr>
          <w:rFonts w:cs="Times New Roman"/>
          <w:szCs w:val="24"/>
        </w:rPr>
        <w:t xml:space="preserve"> </w:t>
      </w:r>
      <w:r w:rsidRPr="00036C0D">
        <w:rPr>
          <w:rFonts w:cs="Times New Roman"/>
          <w:szCs w:val="24"/>
        </w:rPr>
        <w:t>Considerando, por certo, um equívoco o posicionamento brasileiro em relação ao tratado, Pedro Américo evocou seus conhecimentos e experiência nos negócios artísticos para oferecer ao Congresso um projeto que pudesse regular as questões ora em discussão</w:t>
      </w:r>
      <w:r w:rsidR="00A7741D" w:rsidRPr="00036C0D">
        <w:rPr>
          <w:rFonts w:cs="Times New Roman"/>
          <w:szCs w:val="24"/>
        </w:rPr>
        <w:t>.</w:t>
      </w:r>
    </w:p>
    <w:p w:rsidR="00404FB6" w:rsidRPr="00036C0D" w:rsidRDefault="00404FB6" w:rsidP="005651A7">
      <w:pPr>
        <w:spacing w:afterLines="40" w:line="480" w:lineRule="auto"/>
        <w:ind w:firstLine="851"/>
        <w:rPr>
          <w:rFonts w:cs="Times New Roman"/>
          <w:szCs w:val="24"/>
        </w:rPr>
      </w:pPr>
      <w:r w:rsidRPr="00036C0D">
        <w:rPr>
          <w:rFonts w:cs="Times New Roman"/>
          <w:szCs w:val="24"/>
        </w:rPr>
        <w:t>O projeto de Pedro Américo procurava garantir o gozo dos direitos autorais a todos os produtores de obras artísticas, literárias e científicas</w:t>
      </w:r>
      <w:r w:rsidR="00A04284" w:rsidRPr="00036C0D">
        <w:rPr>
          <w:rFonts w:cs="Times New Roman"/>
          <w:szCs w:val="24"/>
        </w:rPr>
        <w:t xml:space="preserve"> </w:t>
      </w:r>
      <w:r w:rsidRPr="00036C0D">
        <w:rPr>
          <w:rFonts w:cs="Times New Roman"/>
          <w:szCs w:val="24"/>
        </w:rPr>
        <w:t xml:space="preserve">“de sua própria concepção, ou composição”. A partir dos artigos </w:t>
      </w:r>
      <w:r w:rsidR="00C6324C" w:rsidRPr="00036C0D">
        <w:rPr>
          <w:rFonts w:cs="Times New Roman"/>
          <w:szCs w:val="24"/>
        </w:rPr>
        <w:t>1º</w:t>
      </w:r>
      <w:r w:rsidRPr="00036C0D">
        <w:rPr>
          <w:rFonts w:cs="Times New Roman"/>
          <w:szCs w:val="24"/>
        </w:rPr>
        <w:t xml:space="preserve"> e </w:t>
      </w:r>
      <w:r w:rsidR="00C6324C" w:rsidRPr="00036C0D">
        <w:rPr>
          <w:rFonts w:cs="Times New Roman"/>
          <w:szCs w:val="24"/>
        </w:rPr>
        <w:t>2º</w:t>
      </w:r>
      <w:r w:rsidRPr="00036C0D">
        <w:rPr>
          <w:rFonts w:cs="Times New Roman"/>
          <w:szCs w:val="24"/>
        </w:rPr>
        <w:t xml:space="preserve"> pode-se compreender a separação dos direitos autorais em relação à propriedade literária, uma vez que esta é assegurada e definida no segundo artigo, além de ser exposta pelo artigo </w:t>
      </w:r>
      <w:r w:rsidR="00C6324C" w:rsidRPr="00036C0D">
        <w:rPr>
          <w:rFonts w:cs="Times New Roman"/>
          <w:szCs w:val="24"/>
        </w:rPr>
        <w:t>4º</w:t>
      </w:r>
      <w:r w:rsidRPr="00036C0D">
        <w:rPr>
          <w:rFonts w:cs="Times New Roman"/>
          <w:szCs w:val="24"/>
        </w:rPr>
        <w:t xml:space="preserve"> a independência de um direito em relação ao outro. Se o direito autoral garantia ao responsável pela produção da obra o direito de assiná-la e decidir sobre sua finalidade, o direito de propriedade conferia o domínio sobre a alienação da obra, de sua reprodução e exposição.</w:t>
      </w:r>
      <w:r w:rsidR="00933976" w:rsidRPr="00036C0D">
        <w:rPr>
          <w:rFonts w:cs="Times New Roman"/>
          <w:szCs w:val="24"/>
        </w:rPr>
        <w:t xml:space="preserve"> </w:t>
      </w:r>
      <w:r w:rsidRPr="00036C0D">
        <w:rPr>
          <w:rFonts w:cs="Times New Roman"/>
          <w:szCs w:val="24"/>
        </w:rPr>
        <w:t>Como a maioria dos projetos anteriores, a proposta de Pedro Américo estabelecia um prazo de vigência para os direitos de propriedade literária, no caso, defendendo o gozo vitalício pelo autor mais cinquenta anos após sua morte por seus herd</w:t>
      </w:r>
      <w:r w:rsidR="00F803BC" w:rsidRPr="00036C0D">
        <w:rPr>
          <w:rFonts w:cs="Times New Roman"/>
          <w:szCs w:val="24"/>
        </w:rPr>
        <w:t>eiros ou representantes legais.</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Na última parte do projeto, referente às punições das violações dos direitos de propriedade, Pedro Américo dispunha sobre as citações, adaptações ou transcrições que não objetivavam ganhos comerciais como intervenções que não constituíam violações do direito de propriedade literária e artística, uma vez que apresentassem “caracteres de </w:t>
      </w:r>
      <w:proofErr w:type="gramStart"/>
      <w:r w:rsidRPr="00036C0D">
        <w:rPr>
          <w:rFonts w:cs="Times New Roman"/>
          <w:szCs w:val="24"/>
        </w:rPr>
        <w:t>evidente originalidade não contidas na obra inicial</w:t>
      </w:r>
      <w:r w:rsidR="001E6517" w:rsidRPr="00036C0D">
        <w:rPr>
          <w:rFonts w:cs="Times New Roman"/>
          <w:szCs w:val="24"/>
        </w:rPr>
        <w:t>”</w:t>
      </w:r>
      <w:proofErr w:type="gramEnd"/>
      <w:r w:rsidR="001E6517" w:rsidRPr="00036C0D">
        <w:rPr>
          <w:rFonts w:cs="Times New Roman"/>
          <w:szCs w:val="24"/>
        </w:rPr>
        <w:t>.</w:t>
      </w:r>
      <w:r w:rsidR="007110F1">
        <w:rPr>
          <w:rStyle w:val="Refdenotaderodap"/>
          <w:rFonts w:cs="Times New Roman"/>
          <w:szCs w:val="24"/>
        </w:rPr>
        <w:footnoteReference w:id="25"/>
      </w:r>
      <w:r w:rsidRPr="00036C0D">
        <w:rPr>
          <w:rFonts w:cs="Times New Roman"/>
          <w:szCs w:val="24"/>
        </w:rPr>
        <w:t xml:space="preserve"> </w:t>
      </w:r>
      <w:r w:rsidR="00933976" w:rsidRPr="00036C0D">
        <w:rPr>
          <w:rFonts w:cs="Times New Roman"/>
          <w:szCs w:val="24"/>
        </w:rPr>
        <w:t xml:space="preserve">Por outro lado, as críticas polemistas com </w:t>
      </w:r>
      <w:r w:rsidRPr="00036C0D">
        <w:rPr>
          <w:rFonts w:cs="Times New Roman"/>
          <w:szCs w:val="24"/>
        </w:rPr>
        <w:t>avaliação de obras artísticas ou científicas feita com objetivo de prejudicar o autor</w:t>
      </w:r>
      <w:r w:rsidR="00933976" w:rsidRPr="00036C0D">
        <w:rPr>
          <w:rFonts w:cs="Times New Roman"/>
          <w:szCs w:val="24"/>
        </w:rPr>
        <w:t>,</w:t>
      </w:r>
      <w:r w:rsidRPr="00036C0D">
        <w:rPr>
          <w:rFonts w:cs="Times New Roman"/>
          <w:szCs w:val="24"/>
        </w:rPr>
        <w:t xml:space="preserve"> poderia</w:t>
      </w:r>
      <w:r w:rsidR="00933976" w:rsidRPr="00036C0D">
        <w:rPr>
          <w:rFonts w:cs="Times New Roman"/>
          <w:szCs w:val="24"/>
        </w:rPr>
        <w:t>m</w:t>
      </w:r>
      <w:r w:rsidRPr="00036C0D">
        <w:rPr>
          <w:rFonts w:cs="Times New Roman"/>
          <w:szCs w:val="24"/>
        </w:rPr>
        <w:t xml:space="preserve"> incorrer em violação dos direitos dos autores sobre suas obras, sendo punida como tal.</w:t>
      </w:r>
    </w:p>
    <w:p w:rsidR="00404FB6" w:rsidRPr="00036C0D" w:rsidRDefault="00404FB6" w:rsidP="005651A7">
      <w:pPr>
        <w:spacing w:afterLines="40" w:line="480" w:lineRule="auto"/>
        <w:ind w:firstLine="851"/>
        <w:rPr>
          <w:rFonts w:cs="Times New Roman"/>
          <w:szCs w:val="24"/>
        </w:rPr>
      </w:pPr>
      <w:r w:rsidRPr="00036C0D">
        <w:rPr>
          <w:rFonts w:cs="Times New Roman"/>
          <w:szCs w:val="24"/>
        </w:rPr>
        <w:lastRenderedPageBreak/>
        <w:t xml:space="preserve">Também no bojo das discussões desenvolvidas no interior da </w:t>
      </w:r>
      <w:r w:rsidRPr="00036C0D">
        <w:rPr>
          <w:rFonts w:cs="Times New Roman"/>
          <w:i/>
          <w:szCs w:val="24"/>
        </w:rPr>
        <w:t>Comissão de Diplomacia e Tratados</w:t>
      </w:r>
      <w:r w:rsidRPr="00036C0D">
        <w:rPr>
          <w:rFonts w:cs="Times New Roman"/>
          <w:szCs w:val="24"/>
        </w:rPr>
        <w:t xml:space="preserve"> sobre a convenção literária com a França, de 1891, o deputado do Pará</w:t>
      </w:r>
      <w:r w:rsidR="00933976" w:rsidRPr="00036C0D">
        <w:rPr>
          <w:rFonts w:cs="Times New Roman"/>
          <w:szCs w:val="24"/>
        </w:rPr>
        <w:t>,</w:t>
      </w:r>
      <w:r w:rsidRPr="00036C0D">
        <w:rPr>
          <w:rFonts w:cs="Times New Roman"/>
          <w:szCs w:val="24"/>
        </w:rPr>
        <w:t xml:space="preserve"> Augusto Montenegro apresentou</w:t>
      </w:r>
      <w:r w:rsidR="00933976" w:rsidRPr="00036C0D">
        <w:rPr>
          <w:rFonts w:cs="Times New Roman"/>
          <w:szCs w:val="24"/>
        </w:rPr>
        <w:t xml:space="preserve"> </w:t>
      </w:r>
      <w:r w:rsidRPr="00036C0D">
        <w:rPr>
          <w:rFonts w:cs="Times New Roman"/>
          <w:szCs w:val="24"/>
        </w:rPr>
        <w:t>sua proposta de regulação. Seu</w:t>
      </w:r>
      <w:r w:rsidR="00933976" w:rsidRPr="00036C0D">
        <w:rPr>
          <w:rFonts w:cs="Times New Roman"/>
          <w:szCs w:val="24"/>
        </w:rPr>
        <w:t xml:space="preserve"> objetivo seria propor uma lei sobre a questão</w:t>
      </w:r>
      <w:r w:rsidRPr="00036C0D">
        <w:rPr>
          <w:rFonts w:cs="Times New Roman"/>
          <w:szCs w:val="24"/>
        </w:rPr>
        <w:t xml:space="preserve"> que não ficasse atrelada a disposições estabelecidas por outro país. Sob o argumento de manutenção da soberania brasileira, portanto, o deputado propunha uma lei que ele mesmo declarou ser uma adaptação da alemã referente à questão. Após uma rápida discussão com Pedro Américo, Montenegro apresent</w:t>
      </w:r>
      <w:r w:rsidR="00933976" w:rsidRPr="00036C0D">
        <w:rPr>
          <w:rFonts w:cs="Times New Roman"/>
          <w:szCs w:val="24"/>
        </w:rPr>
        <w:t>ou</w:t>
      </w:r>
      <w:r w:rsidRPr="00036C0D">
        <w:rPr>
          <w:rFonts w:cs="Times New Roman"/>
          <w:szCs w:val="24"/>
        </w:rPr>
        <w:t xml:space="preserve"> sua proposta, que avançava sobre as questões envolvidas com novidades em relação aos projetos anteriores.</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Os direitos de autor seriam garantidos também aos estrangeiros, contanto que </w:t>
      </w:r>
      <w:proofErr w:type="gramStart"/>
      <w:r w:rsidRPr="00036C0D">
        <w:rPr>
          <w:rFonts w:cs="Times New Roman"/>
          <w:szCs w:val="24"/>
        </w:rPr>
        <w:t>tivessem</w:t>
      </w:r>
      <w:proofErr w:type="gramEnd"/>
      <w:r w:rsidRPr="00036C0D">
        <w:rPr>
          <w:rFonts w:cs="Times New Roman"/>
          <w:szCs w:val="24"/>
        </w:rPr>
        <w:t xml:space="preserve"> no Brasil um representante legal, algo muito próximo do que havia sido proposto em outras ocasiões. Na contramão do que estabeleciam os projetos anteriores, a limitação de tempo para gozo dos direitos pelos herdeiros ou representantes após a morte do autor ficava limitado </w:t>
      </w:r>
      <w:proofErr w:type="gramStart"/>
      <w:r w:rsidRPr="00036C0D">
        <w:rPr>
          <w:rFonts w:cs="Times New Roman"/>
          <w:szCs w:val="24"/>
        </w:rPr>
        <w:t>a</w:t>
      </w:r>
      <w:proofErr w:type="gramEnd"/>
      <w:r w:rsidRPr="00036C0D">
        <w:rPr>
          <w:rFonts w:cs="Times New Roman"/>
          <w:szCs w:val="24"/>
        </w:rPr>
        <w:t xml:space="preserve"> apenas dez anos, após o que se encontrariam as obras em domínio comum, que posteriormente foi nomeado domínio público. De seu projeto ficava claro o interesse em controlar o que se declarava em obras artísticas e literárias. O artigo 4º estabelecia que o gozo dos direitos </w:t>
      </w:r>
      <w:proofErr w:type="gramStart"/>
      <w:r w:rsidRPr="00036C0D">
        <w:rPr>
          <w:rFonts w:cs="Times New Roman"/>
          <w:szCs w:val="24"/>
        </w:rPr>
        <w:t>estaria</w:t>
      </w:r>
      <w:proofErr w:type="gramEnd"/>
      <w:r w:rsidRPr="00036C0D">
        <w:rPr>
          <w:rFonts w:cs="Times New Roman"/>
          <w:szCs w:val="24"/>
        </w:rPr>
        <w:t xml:space="preserve"> limitado àquelas obras que trouxessem o nome do autor e</w:t>
      </w:r>
      <w:r w:rsidR="00C6324C" w:rsidRPr="00036C0D">
        <w:rPr>
          <w:rFonts w:cs="Times New Roman"/>
          <w:szCs w:val="24"/>
        </w:rPr>
        <w:t>stampado. Por isso, obras anônimas, e mesmo</w:t>
      </w:r>
      <w:r w:rsidRPr="00036C0D">
        <w:rPr>
          <w:rFonts w:cs="Times New Roman"/>
          <w:szCs w:val="24"/>
        </w:rPr>
        <w:t xml:space="preserve"> pseudônimas, estariam excluídas </w:t>
      </w:r>
      <w:r w:rsidR="00C6324C" w:rsidRPr="00036C0D">
        <w:rPr>
          <w:rFonts w:cs="Times New Roman"/>
          <w:szCs w:val="24"/>
        </w:rPr>
        <w:t xml:space="preserve">da proteção </w:t>
      </w:r>
      <w:r w:rsidRPr="00036C0D">
        <w:rPr>
          <w:rFonts w:cs="Times New Roman"/>
          <w:szCs w:val="24"/>
        </w:rPr>
        <w:t>do direito autoral.</w:t>
      </w:r>
    </w:p>
    <w:p w:rsidR="00404FB6" w:rsidRPr="00036C0D" w:rsidRDefault="00404FB6" w:rsidP="005651A7">
      <w:pPr>
        <w:spacing w:afterLines="40" w:line="480" w:lineRule="auto"/>
        <w:ind w:firstLine="851"/>
        <w:rPr>
          <w:rFonts w:cs="Times New Roman"/>
          <w:szCs w:val="24"/>
        </w:rPr>
      </w:pPr>
      <w:r w:rsidRPr="00036C0D">
        <w:rPr>
          <w:rFonts w:cs="Times New Roman"/>
          <w:szCs w:val="24"/>
        </w:rPr>
        <w:t>O projeto de Montenegro conferia aos autores um controle sobre a utilização de suas obras, para montagem de espetáculos teatrais, traduções e mesmo adaptações, prática disciplinada pela primeira vez por sua proposta. As obras de autores nacionais que não fossem originalmente concebidas para o teatro não poderiam ser representadas, salvo nos casos em que tivessem autorização concedida pelo autor. Os autores estrangeiros sem representantes legais no país, contudo, não tinham esse direito garantido.</w:t>
      </w:r>
    </w:p>
    <w:p w:rsidR="00404FB6" w:rsidRPr="00036C0D" w:rsidRDefault="00404FB6" w:rsidP="005651A7">
      <w:pPr>
        <w:spacing w:afterLines="40" w:line="480" w:lineRule="auto"/>
        <w:ind w:firstLine="851"/>
        <w:rPr>
          <w:rFonts w:cs="Times New Roman"/>
          <w:szCs w:val="24"/>
        </w:rPr>
      </w:pPr>
      <w:r w:rsidRPr="00036C0D">
        <w:rPr>
          <w:rFonts w:cs="Times New Roman"/>
          <w:szCs w:val="24"/>
        </w:rPr>
        <w:t>Os últimos artigos do projeto defin</w:t>
      </w:r>
      <w:r w:rsidR="00933976" w:rsidRPr="00036C0D">
        <w:rPr>
          <w:rFonts w:cs="Times New Roman"/>
          <w:szCs w:val="24"/>
        </w:rPr>
        <w:t>ia</w:t>
      </w:r>
      <w:r w:rsidRPr="00036C0D">
        <w:rPr>
          <w:rFonts w:cs="Times New Roman"/>
          <w:szCs w:val="24"/>
        </w:rPr>
        <w:t>m o que se deveria entender por “contrafação” e estabelec</w:t>
      </w:r>
      <w:r w:rsidR="00933976" w:rsidRPr="00036C0D">
        <w:rPr>
          <w:rFonts w:cs="Times New Roman"/>
          <w:szCs w:val="24"/>
        </w:rPr>
        <w:t>ia</w:t>
      </w:r>
      <w:r w:rsidRPr="00036C0D">
        <w:rPr>
          <w:rFonts w:cs="Times New Roman"/>
          <w:szCs w:val="24"/>
        </w:rPr>
        <w:t>m puniçõ</w:t>
      </w:r>
      <w:r w:rsidR="00933976" w:rsidRPr="00036C0D">
        <w:rPr>
          <w:rFonts w:cs="Times New Roman"/>
          <w:szCs w:val="24"/>
        </w:rPr>
        <w:t xml:space="preserve">es dirigidas aos contrafatores. </w:t>
      </w:r>
      <w:r w:rsidRPr="00036C0D">
        <w:rPr>
          <w:rFonts w:cs="Times New Roman"/>
          <w:szCs w:val="24"/>
        </w:rPr>
        <w:t xml:space="preserve">Entendendo como contrafação “toda reprodução parcial ou integral, fraudulenta ou de má fé, de uma obra literária, científica ou artística, (...) por </w:t>
      </w:r>
      <w:r w:rsidRPr="00036C0D">
        <w:rPr>
          <w:rFonts w:cs="Times New Roman"/>
          <w:szCs w:val="24"/>
        </w:rPr>
        <w:lastRenderedPageBreak/>
        <w:t>quaisquer processos mecânicos, sem o consentimento do seu autor”,</w:t>
      </w:r>
      <w:r w:rsidR="007110F1">
        <w:rPr>
          <w:rStyle w:val="Refdenotaderodap"/>
          <w:rFonts w:cs="Times New Roman"/>
          <w:szCs w:val="24"/>
        </w:rPr>
        <w:footnoteReference w:id="26"/>
      </w:r>
      <w:r w:rsidRPr="00036C0D">
        <w:rPr>
          <w:rFonts w:cs="Times New Roman"/>
          <w:szCs w:val="24"/>
        </w:rPr>
        <w:t xml:space="preserve"> o projeto estabelecia como punição a apreensão dos objetos contrafeitos e pagamento de multa. Além disso, </w:t>
      </w:r>
      <w:r w:rsidR="001E6517" w:rsidRPr="00036C0D">
        <w:rPr>
          <w:rFonts w:cs="Times New Roman"/>
          <w:szCs w:val="24"/>
        </w:rPr>
        <w:t>o deputado</w:t>
      </w:r>
      <w:r w:rsidRPr="00036C0D">
        <w:rPr>
          <w:rFonts w:cs="Times New Roman"/>
          <w:szCs w:val="24"/>
        </w:rPr>
        <w:t xml:space="preserve"> defendia a destruição dos utensílios empregados na prática do delito.</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A proposta de Montenegro serviu de base para discussões que se estenderam por cinco anos. Em 1894, do interior da </w:t>
      </w:r>
      <w:r w:rsidRPr="00036C0D">
        <w:rPr>
          <w:rFonts w:cs="Times New Roman"/>
          <w:i/>
          <w:szCs w:val="24"/>
        </w:rPr>
        <w:t>Comissão de Instrução Pública</w:t>
      </w:r>
      <w:r w:rsidRPr="00036C0D">
        <w:rPr>
          <w:rFonts w:cs="Times New Roman"/>
          <w:szCs w:val="24"/>
        </w:rPr>
        <w:t xml:space="preserve"> e sob a relatoria de José Joaquim de Campos da Costa de Medeiros e Albuquerque, outro projeto, muito baseado nos primeiros apontamentos de Augusto Montenegro, foi apresentado à Câmara. As discussões realizadas durante aquele ano revelavam a grande concordância entre os dois proponentes, guardando-se alguma reserva, sobretudo, </w:t>
      </w:r>
      <w:r w:rsidR="00933976" w:rsidRPr="00036C0D">
        <w:rPr>
          <w:rFonts w:cs="Times New Roman"/>
          <w:szCs w:val="24"/>
        </w:rPr>
        <w:t>em relação a</w:t>
      </w:r>
      <w:r w:rsidRPr="00036C0D">
        <w:rPr>
          <w:rFonts w:cs="Times New Roman"/>
          <w:szCs w:val="24"/>
        </w:rPr>
        <w:t xml:space="preserve">os entendimentos a respeito do direito de tradução. O projeto de Medeiros e Albuquerque abandonava uma disposição defendida por Montenegro que dizia respeito à reserva da exploração do direito de tradução para o próprio autor. Outra questão que diferenciou as propostas relacionava-se à duração do direito. Se para Augusto Montenegro parecia positivo resguardar o direito dos autores vitaliciamente e por mais </w:t>
      </w:r>
      <w:r w:rsidR="00933976" w:rsidRPr="00036C0D">
        <w:rPr>
          <w:rFonts w:cs="Times New Roman"/>
          <w:szCs w:val="24"/>
        </w:rPr>
        <w:t>dez</w:t>
      </w:r>
      <w:r w:rsidRPr="00036C0D">
        <w:rPr>
          <w:rFonts w:cs="Times New Roman"/>
          <w:szCs w:val="24"/>
        </w:rPr>
        <w:t xml:space="preserve"> anos após sua morte, Medeiros e Albuquerque preferiu estabelecer a duração do gozo do direito por cinquenta anos a contar da data de publicação da obra. Montenegro, contudo, declarou co</w:t>
      </w:r>
      <w:r w:rsidR="00933976" w:rsidRPr="00036C0D">
        <w:rPr>
          <w:rFonts w:cs="Times New Roman"/>
          <w:szCs w:val="24"/>
        </w:rPr>
        <w:t>ncordar com a mudança afirmando</w:t>
      </w:r>
      <w:r w:rsidRPr="00036C0D">
        <w:rPr>
          <w:rFonts w:cs="Times New Roman"/>
          <w:szCs w:val="24"/>
        </w:rPr>
        <w:t xml:space="preserve"> que “o nobre deputado (...) e a ilustre comissão admitem um sistema, a meu ver melhor, que aquele que eu havia apregoado e no qual existia um elemento incerto, qual é a morte, que podia aumentar ou diminuir o prazo da garantia”.</w:t>
      </w:r>
      <w:r w:rsidR="007110F1">
        <w:rPr>
          <w:rStyle w:val="Refdenotaderodap"/>
          <w:rFonts w:cs="Times New Roman"/>
          <w:szCs w:val="24"/>
        </w:rPr>
        <w:footnoteReference w:id="27"/>
      </w:r>
      <w:r w:rsidRPr="00036C0D">
        <w:rPr>
          <w:rFonts w:cs="Times New Roman"/>
          <w:szCs w:val="24"/>
        </w:rPr>
        <w:t xml:space="preserve"> Na nova redação proposta, portanto, ficaria mais imparcial e melhor definida a extensão temporal da garantia dos direitos dos autores.</w:t>
      </w:r>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Após discussões, o projeto ainda seguiu para o Senado, </w:t>
      </w:r>
      <w:r w:rsidR="00933976" w:rsidRPr="00036C0D">
        <w:rPr>
          <w:rFonts w:cs="Times New Roman"/>
          <w:szCs w:val="24"/>
        </w:rPr>
        <w:t>s</w:t>
      </w:r>
      <w:r w:rsidRPr="00036C0D">
        <w:rPr>
          <w:rFonts w:cs="Times New Roman"/>
          <w:szCs w:val="24"/>
        </w:rPr>
        <w:t xml:space="preserve">endo promulgado, na forma de decreto, em agosto de 1898. O decreto guardava traços evidentes do projeto de 1893, como a definição do que não seria considerado como contrafação, reservando certa liberdade de ação autoral à citação, adaptação e imitação. Também as definições do que se entenderia por direitos de </w:t>
      </w:r>
      <w:r w:rsidRPr="00036C0D">
        <w:rPr>
          <w:rFonts w:cs="Times New Roman"/>
          <w:szCs w:val="24"/>
        </w:rPr>
        <w:lastRenderedPageBreak/>
        <w:t>autor e, especialmente, de “obra literária, científica ou artística” presentes na lei deveram bastante ao projeto de Augusto Montenegro.</w:t>
      </w:r>
      <w:proofErr w:type="gramStart"/>
      <w:r w:rsidR="005651A7">
        <w:rPr>
          <w:rFonts w:cs="Times New Roman"/>
          <w:szCs w:val="24"/>
        </w:rPr>
        <w:tab/>
      </w:r>
      <w:proofErr w:type="gramEnd"/>
    </w:p>
    <w:p w:rsidR="00404FB6" w:rsidRPr="00036C0D" w:rsidRDefault="00404FB6" w:rsidP="005651A7">
      <w:pPr>
        <w:spacing w:afterLines="40" w:line="480" w:lineRule="auto"/>
        <w:ind w:firstLine="851"/>
        <w:rPr>
          <w:rFonts w:cs="Times New Roman"/>
          <w:szCs w:val="24"/>
        </w:rPr>
      </w:pPr>
      <w:r w:rsidRPr="00036C0D">
        <w:rPr>
          <w:rFonts w:cs="Times New Roman"/>
          <w:szCs w:val="24"/>
        </w:rPr>
        <w:t xml:space="preserve">Dos meandros das discussões sobre a lei de direitos autorais brasileira, durante a década de 1890, acompanhando a publicidade da questão nos principais periódicos em circulação, percebe-se a supervalorização da atuação do deputado Medeiros e Albuquerque, sobretudo após a fundação da </w:t>
      </w:r>
      <w:r w:rsidRPr="00036C0D">
        <w:rPr>
          <w:rFonts w:cs="Times New Roman"/>
          <w:i/>
          <w:szCs w:val="24"/>
        </w:rPr>
        <w:t>Academia Brasileira de Letras</w:t>
      </w:r>
      <w:r w:rsidRPr="00036C0D">
        <w:rPr>
          <w:rFonts w:cs="Times New Roman"/>
          <w:szCs w:val="24"/>
        </w:rPr>
        <w:t>, em 1897. É certo que sua capacidade de articulação resultou na votação de um projeto de lei sobre os direitos autorais, mas igualmente certo é que a concepção do projeto deveu muito à proposta apresentada por Augusto Montenegro, que continuou contribuindo com o desenvolvimento da lei nos debates posteriores.</w:t>
      </w:r>
    </w:p>
    <w:p w:rsidR="003F66D1" w:rsidRPr="00036C0D" w:rsidRDefault="00404FB6" w:rsidP="00D61D4A">
      <w:pPr>
        <w:spacing w:afterLines="40" w:line="480" w:lineRule="auto"/>
        <w:ind w:firstLine="851"/>
        <w:rPr>
          <w:rFonts w:cs="Times New Roman"/>
          <w:szCs w:val="24"/>
        </w:rPr>
      </w:pPr>
      <w:r w:rsidRPr="00036C0D">
        <w:rPr>
          <w:rFonts w:cs="Times New Roman"/>
          <w:szCs w:val="24"/>
        </w:rPr>
        <w:t xml:space="preserve">Os esforços de definição e de institucionalização dos direitos autorais no Brasil responderam também ao interesse de caracterização do fazer do escritor nacional. Atuando como solução frente às dificuldades financeiras enfrentadas pela maioria dos escritores, as garantias expressas em lei em relação aos direitos dos autores possibilitariam a estes agentes culturais serem identificados enquanto tais, além de permitirem receber algum retorno pelo trabalho empreendido. Ainda que o retorno não fosse suficiente, como destacou José de Alencar e a maioria dos escritores do </w:t>
      </w:r>
      <w:r w:rsidR="00EB44CC" w:rsidRPr="00036C0D">
        <w:rPr>
          <w:rFonts w:cs="Times New Roman"/>
          <w:szCs w:val="24"/>
        </w:rPr>
        <w:t>XIX</w:t>
      </w:r>
      <w:r w:rsidRPr="00036C0D">
        <w:rPr>
          <w:rFonts w:cs="Times New Roman"/>
          <w:szCs w:val="24"/>
        </w:rPr>
        <w:t xml:space="preserve">, o demorado processo de constituição do direito autoral no Brasil – que vai da primeira expressão legal relacionada a publicações de textos, na década de 1830, até a sua inclusão final no texto da lei brasileira, no final da década de 1890 – promoveu um ambiente favorável à reunião de grupos intelectuais suficientemente legitimados para a construção de uma coletividade reconhecida como extrato </w:t>
      </w:r>
      <w:r w:rsidR="007110F1">
        <w:rPr>
          <w:rFonts w:cs="Times New Roman"/>
          <w:szCs w:val="24"/>
        </w:rPr>
        <w:t xml:space="preserve">mais </w:t>
      </w:r>
      <w:r w:rsidRPr="00036C0D">
        <w:rPr>
          <w:rFonts w:cs="Times New Roman"/>
          <w:szCs w:val="24"/>
        </w:rPr>
        <w:t>elevado da cultura brasileira à época.</w:t>
      </w:r>
    </w:p>
    <w:sectPr w:rsidR="003F66D1" w:rsidRPr="00036C0D" w:rsidSect="00984AEB">
      <w:endnotePr>
        <w:numFmt w:val="decimal"/>
      </w:end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40" w:rsidRDefault="00F25A40" w:rsidP="00404FB6">
      <w:pPr>
        <w:spacing w:line="240" w:lineRule="auto"/>
      </w:pPr>
      <w:r>
        <w:separator/>
      </w:r>
    </w:p>
  </w:endnote>
  <w:endnote w:type="continuationSeparator" w:id="0">
    <w:p w:rsidR="00F25A40" w:rsidRDefault="00F25A40" w:rsidP="00404F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40" w:rsidRDefault="00F25A40" w:rsidP="00404FB6">
      <w:pPr>
        <w:spacing w:line="240" w:lineRule="auto"/>
      </w:pPr>
      <w:r>
        <w:separator/>
      </w:r>
    </w:p>
  </w:footnote>
  <w:footnote w:type="continuationSeparator" w:id="0">
    <w:p w:rsidR="00F25A40" w:rsidRDefault="00F25A40" w:rsidP="00404FB6">
      <w:pPr>
        <w:spacing w:line="240" w:lineRule="auto"/>
      </w:pPr>
      <w:r>
        <w:continuationSeparator/>
      </w:r>
    </w:p>
  </w:footnote>
  <w:footnote w:id="1">
    <w:p w:rsidR="00832091" w:rsidRPr="007110F1" w:rsidRDefault="00832091" w:rsidP="007110F1">
      <w:pPr>
        <w:pStyle w:val="Textodenotaderodap"/>
        <w:spacing w:after="40"/>
        <w:jc w:val="left"/>
      </w:pPr>
      <w:r w:rsidRPr="007110F1">
        <w:rPr>
          <w:rStyle w:val="Refdenotaderodap"/>
        </w:rPr>
        <w:footnoteRef/>
      </w:r>
      <w:r w:rsidRPr="007110F1">
        <w:t xml:space="preserve"> </w:t>
      </w:r>
      <w:r w:rsidRPr="007110F1">
        <w:rPr>
          <w:rFonts w:cs="Times New Roman"/>
        </w:rPr>
        <w:t xml:space="preserve">PAULA BRITO, Francisco de. Folhetim. </w:t>
      </w:r>
      <w:r w:rsidRPr="007110F1">
        <w:rPr>
          <w:rFonts w:cs="Times New Roman"/>
          <w:i/>
        </w:rPr>
        <w:t>Jornal do Commercio,</w:t>
      </w:r>
      <w:r w:rsidRPr="007110F1">
        <w:rPr>
          <w:rFonts w:cs="Times New Roman"/>
        </w:rPr>
        <w:t xml:space="preserve"> 31/07/1839. </w:t>
      </w:r>
      <w:r w:rsidRPr="007110F1">
        <w:rPr>
          <w:rFonts w:cs="Times New Roman"/>
          <w:i/>
        </w:rPr>
        <w:t>O Pontífice e os carbonários</w:t>
      </w:r>
      <w:r w:rsidRPr="007110F1">
        <w:rPr>
          <w:rFonts w:cs="Times New Roman"/>
        </w:rPr>
        <w:t xml:space="preserve"> </w:t>
      </w:r>
      <w:proofErr w:type="gramStart"/>
      <w:r w:rsidRPr="007110F1">
        <w:rPr>
          <w:rFonts w:cs="Times New Roman"/>
        </w:rPr>
        <w:t>foi veiculado</w:t>
      </w:r>
      <w:proofErr w:type="gramEnd"/>
      <w:r w:rsidRPr="007110F1">
        <w:rPr>
          <w:rFonts w:cs="Times New Roman"/>
        </w:rPr>
        <w:t xml:space="preserve"> no </w:t>
      </w:r>
      <w:r w:rsidRPr="007110F1">
        <w:rPr>
          <w:rFonts w:cs="Times New Roman"/>
          <w:i/>
        </w:rPr>
        <w:t>Jornal do Commercio</w:t>
      </w:r>
      <w:r w:rsidRPr="007110F1">
        <w:rPr>
          <w:rFonts w:cs="Times New Roman"/>
        </w:rPr>
        <w:t>, de 31/07/1839 a 13/08/1839.</w:t>
      </w:r>
    </w:p>
  </w:footnote>
  <w:footnote w:id="2">
    <w:p w:rsidR="00832091" w:rsidRPr="007110F1" w:rsidRDefault="00832091" w:rsidP="007110F1">
      <w:pPr>
        <w:pStyle w:val="Textodenotaderodap"/>
        <w:spacing w:after="40"/>
        <w:jc w:val="left"/>
        <w:rPr>
          <w:rFonts w:cs="Times New Roman"/>
          <w:i/>
        </w:rPr>
      </w:pPr>
      <w:r w:rsidRPr="007110F1">
        <w:rPr>
          <w:rStyle w:val="Refdenotaderodap"/>
          <w:rFonts w:cs="Times New Roman"/>
        </w:rPr>
        <w:footnoteRef/>
      </w:r>
      <w:r w:rsidRPr="007110F1">
        <w:rPr>
          <w:rFonts w:cs="Times New Roman"/>
        </w:rPr>
        <w:t xml:space="preserve"> </w:t>
      </w:r>
      <w:r w:rsidRPr="007110F1">
        <w:rPr>
          <w:rFonts w:cs="Times New Roman"/>
          <w:i/>
        </w:rPr>
        <w:t>O Pontífice e os carbonários</w:t>
      </w:r>
      <w:r w:rsidRPr="007110F1">
        <w:rPr>
          <w:rFonts w:cs="Times New Roman"/>
        </w:rPr>
        <w:t xml:space="preserve"> </w:t>
      </w:r>
      <w:proofErr w:type="gramStart"/>
      <w:r w:rsidRPr="007110F1">
        <w:rPr>
          <w:rFonts w:cs="Times New Roman"/>
        </w:rPr>
        <w:t>foi veiculado</w:t>
      </w:r>
      <w:proofErr w:type="gramEnd"/>
      <w:r w:rsidRPr="007110F1">
        <w:rPr>
          <w:rFonts w:cs="Times New Roman"/>
        </w:rPr>
        <w:t xml:space="preserve"> no </w:t>
      </w:r>
      <w:r w:rsidRPr="007110F1">
        <w:rPr>
          <w:rFonts w:cs="Times New Roman"/>
          <w:i/>
        </w:rPr>
        <w:t>Jornal do Commercio</w:t>
      </w:r>
      <w:r w:rsidRPr="007110F1">
        <w:rPr>
          <w:rFonts w:cs="Times New Roman"/>
        </w:rPr>
        <w:t>, de 31/07/1839 a 13/08/1839.</w:t>
      </w:r>
    </w:p>
  </w:footnote>
  <w:footnote w:id="3">
    <w:p w:rsidR="00832091" w:rsidRPr="007110F1" w:rsidRDefault="00832091" w:rsidP="007110F1">
      <w:pPr>
        <w:pStyle w:val="Textodenotaderodap"/>
        <w:spacing w:after="40"/>
        <w:jc w:val="left"/>
      </w:pPr>
      <w:r w:rsidRPr="007110F1">
        <w:rPr>
          <w:rStyle w:val="Refdenotaderodap"/>
        </w:rPr>
        <w:footnoteRef/>
      </w:r>
      <w:r w:rsidRPr="007110F1">
        <w:t xml:space="preserve"> </w:t>
      </w:r>
      <w:r w:rsidRPr="007110F1">
        <w:rPr>
          <w:rFonts w:cs="Times New Roman"/>
        </w:rPr>
        <w:t>PAULA BRITO, “Folhetim”.</w:t>
      </w:r>
    </w:p>
  </w:footnote>
  <w:footnote w:id="4">
    <w:p w:rsidR="00832091" w:rsidRPr="007110F1" w:rsidRDefault="0083209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STAUT JÚNIOR, Sérgio Said. </w:t>
      </w:r>
      <w:r w:rsidRPr="007110F1">
        <w:rPr>
          <w:rFonts w:cs="Times New Roman"/>
          <w:i/>
        </w:rPr>
        <w:t>Direitos autorais: entre as relações sociais e jurídicas</w:t>
      </w:r>
      <w:r w:rsidRPr="007110F1">
        <w:rPr>
          <w:rFonts w:cs="Times New Roman"/>
        </w:rPr>
        <w:t>. Curitiba: Moinho de Verbo, 2006.</w:t>
      </w:r>
    </w:p>
  </w:footnote>
  <w:footnote w:id="5">
    <w:p w:rsidR="00832091" w:rsidRPr="007110F1" w:rsidRDefault="0083209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ANNAES DO PARLAMENTO BRASILEIRO. Câmara dos Srs. Deputados. Quarto ano da nona legislatura. Sessão de 1856. Tomo IV. Rio de Janeiro. Typographia de Hyppolito José Pinto &amp; C. 1875. Disponível em &lt;http://imagem.camara.gov.br/dc_20b.asp?</w:t>
      </w:r>
      <w:proofErr w:type="gramStart"/>
      <w:r w:rsidRPr="007110F1">
        <w:rPr>
          <w:rFonts w:cs="Times New Roman"/>
        </w:rPr>
        <w:t>selCodColecaoCsv</w:t>
      </w:r>
      <w:proofErr w:type="gramEnd"/>
      <w:r w:rsidRPr="007110F1">
        <w:rPr>
          <w:rFonts w:cs="Times New Roman"/>
        </w:rPr>
        <w:t xml:space="preserve">=A&amp;Datain=1/8/1856#&gt; Acesso em: 08 jun. 2016. </w:t>
      </w:r>
      <w:proofErr w:type="gramStart"/>
      <w:r w:rsidRPr="007110F1">
        <w:rPr>
          <w:rFonts w:cs="Times New Roman"/>
        </w:rPr>
        <w:t>pág.</w:t>
      </w:r>
      <w:proofErr w:type="gramEnd"/>
      <w:r w:rsidRPr="007110F1">
        <w:rPr>
          <w:rFonts w:cs="Times New Roman"/>
        </w:rPr>
        <w:t xml:space="preserve"> 170.</w:t>
      </w:r>
    </w:p>
  </w:footnote>
  <w:footnote w:id="6">
    <w:p w:rsidR="00832091" w:rsidRPr="007110F1" w:rsidRDefault="0083209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HALLEWELL, Lawrence. </w:t>
      </w:r>
      <w:r w:rsidRPr="007110F1">
        <w:rPr>
          <w:rFonts w:cs="Times New Roman"/>
          <w:i/>
        </w:rPr>
        <w:t>O livro no Brasil: sua história</w:t>
      </w:r>
      <w:r w:rsidRPr="007110F1">
        <w:rPr>
          <w:rFonts w:cs="Times New Roman"/>
        </w:rPr>
        <w:t>. 3ª Ed. São Paulo: EDUSP, 2012, p. 270.</w:t>
      </w:r>
    </w:p>
  </w:footnote>
  <w:footnote w:id="7">
    <w:p w:rsidR="00A91A9A" w:rsidRPr="007110F1" w:rsidRDefault="00A91A9A" w:rsidP="007110F1">
      <w:pPr>
        <w:pStyle w:val="Textodenotaderodap"/>
        <w:spacing w:after="40"/>
        <w:jc w:val="left"/>
      </w:pPr>
      <w:r w:rsidRPr="007110F1">
        <w:rPr>
          <w:rStyle w:val="Refdenotaderodap"/>
        </w:rPr>
        <w:footnoteRef/>
      </w:r>
      <w:r w:rsidRPr="007110F1">
        <w:t xml:space="preserve"> </w:t>
      </w:r>
      <w:r w:rsidRPr="007110F1">
        <w:rPr>
          <w:rFonts w:cs="Times New Roman"/>
        </w:rPr>
        <w:t xml:space="preserve">PEIXOTO, Bernardo Avelino Gavião. Apresentação de projetos. </w:t>
      </w:r>
      <w:r w:rsidRPr="007110F1">
        <w:rPr>
          <w:rFonts w:cs="Times New Roman"/>
          <w:i/>
        </w:rPr>
        <w:t>Annaes do Parlamento Brazileiro</w:t>
      </w:r>
      <w:r w:rsidRPr="007110F1">
        <w:rPr>
          <w:rFonts w:cs="Times New Roman"/>
        </w:rPr>
        <w:t xml:space="preserve">, Câmara dos Srs. deputados. </w:t>
      </w:r>
      <w:proofErr w:type="gramStart"/>
      <w:r w:rsidRPr="007110F1">
        <w:rPr>
          <w:rFonts w:cs="Times New Roman"/>
        </w:rPr>
        <w:t>t.</w:t>
      </w:r>
      <w:proofErr w:type="gramEnd"/>
      <w:r w:rsidRPr="007110F1">
        <w:rPr>
          <w:rFonts w:cs="Times New Roman"/>
        </w:rPr>
        <w:t xml:space="preserve"> 5, 1857. Rio de Janeiro: Typ. Do Imparcial e Constitucional de J. Villeneuve e Comp., 1857, p. 45-50.</w:t>
      </w:r>
    </w:p>
  </w:footnote>
  <w:footnote w:id="8">
    <w:p w:rsidR="00A91A9A" w:rsidRPr="007110F1" w:rsidRDefault="00A91A9A" w:rsidP="007110F1">
      <w:pPr>
        <w:pStyle w:val="Textodenotaderodap"/>
        <w:spacing w:after="40"/>
        <w:jc w:val="left"/>
      </w:pPr>
      <w:r w:rsidRPr="007110F1">
        <w:rPr>
          <w:rStyle w:val="Refdenotaderodap"/>
        </w:rPr>
        <w:footnoteRef/>
      </w:r>
      <w:r w:rsidRPr="007110F1">
        <w:rPr>
          <w:rFonts w:cs="Times New Roman"/>
        </w:rPr>
        <w:t xml:space="preserve"> PEIXOTO, “Apresentação de projetos...”, p. 48.</w:t>
      </w:r>
    </w:p>
  </w:footnote>
  <w:footnote w:id="9">
    <w:p w:rsidR="00A91A9A" w:rsidRPr="007110F1" w:rsidRDefault="00A91A9A" w:rsidP="007110F1">
      <w:pPr>
        <w:pStyle w:val="Textodenotaderodap"/>
        <w:spacing w:after="40"/>
        <w:jc w:val="left"/>
      </w:pPr>
      <w:r w:rsidRPr="007110F1">
        <w:rPr>
          <w:rStyle w:val="Refdenotaderodap"/>
        </w:rPr>
        <w:footnoteRef/>
      </w:r>
      <w:r w:rsidRPr="007110F1">
        <w:t xml:space="preserve"> </w:t>
      </w:r>
      <w:r w:rsidRPr="007110F1">
        <w:rPr>
          <w:rFonts w:cs="Times New Roman"/>
        </w:rPr>
        <w:t>PEIXOTO, “Apresentação de projetos...”, p. 48.</w:t>
      </w:r>
    </w:p>
  </w:footnote>
  <w:footnote w:id="10">
    <w:p w:rsidR="00A91A9A" w:rsidRPr="007110F1" w:rsidRDefault="00A91A9A" w:rsidP="007110F1">
      <w:pPr>
        <w:pStyle w:val="Textodenotaderodap"/>
        <w:spacing w:after="40"/>
        <w:jc w:val="left"/>
      </w:pPr>
      <w:r w:rsidRPr="007110F1">
        <w:rPr>
          <w:rStyle w:val="Refdenotaderodap"/>
        </w:rPr>
        <w:footnoteRef/>
      </w:r>
      <w:r w:rsidRPr="007110F1">
        <w:t xml:space="preserve"> </w:t>
      </w:r>
      <w:r w:rsidRPr="007110F1">
        <w:rPr>
          <w:rFonts w:cs="Times New Roman"/>
        </w:rPr>
        <w:t>PEIXOTO, “Apresentação de projetos...”, p. 48.</w:t>
      </w:r>
    </w:p>
  </w:footnote>
  <w:footnote w:id="11">
    <w:p w:rsidR="00A91A9A" w:rsidRPr="007110F1" w:rsidRDefault="00A91A9A"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ALENCAR, J. M. Propriedade litteraria. </w:t>
      </w:r>
      <w:r w:rsidRPr="007110F1">
        <w:rPr>
          <w:rFonts w:cs="Times New Roman"/>
          <w:i/>
        </w:rPr>
        <w:t>Annaes do Parlamento Brazileiro.</w:t>
      </w:r>
      <w:r w:rsidRPr="007110F1">
        <w:rPr>
          <w:rFonts w:cs="Times New Roman"/>
        </w:rPr>
        <w:t xml:space="preserve"> Rio de Janeiro: Typ. Imperial e Constitucional de J. Villeneuve &amp; Cia., t.III, 1875.</w:t>
      </w:r>
    </w:p>
  </w:footnote>
  <w:footnote w:id="12">
    <w:p w:rsidR="00A91A9A" w:rsidRPr="007110F1" w:rsidRDefault="00A91A9A"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ALENCAR, “Propriedade litteraria...”, p. 28.</w:t>
      </w:r>
    </w:p>
  </w:footnote>
  <w:footnote w:id="13">
    <w:p w:rsidR="00832091" w:rsidRPr="007110F1" w:rsidRDefault="00832091" w:rsidP="007110F1">
      <w:pPr>
        <w:pStyle w:val="Textodenotaderodap"/>
        <w:spacing w:after="40"/>
        <w:jc w:val="left"/>
        <w:rPr>
          <w:rFonts w:cs="Times New Roman"/>
        </w:rPr>
      </w:pPr>
      <w:r w:rsidRPr="007110F1">
        <w:rPr>
          <w:rStyle w:val="Refdenotaderodap"/>
          <w:rFonts w:cs="Times New Roman"/>
        </w:rPr>
        <w:footnoteRef/>
      </w:r>
      <w:r w:rsidRPr="007110F1">
        <w:rPr>
          <w:rFonts w:cs="Times New Roman"/>
        </w:rPr>
        <w:t xml:space="preserve"> Mantendo seu interesse em marcar a igualdade entre propriedade intelectual e a </w:t>
      </w:r>
      <w:r w:rsidRPr="007110F1">
        <w:rPr>
          <w:rFonts w:cs="Times New Roman"/>
          <w:i/>
        </w:rPr>
        <w:t>propriedade geral</w:t>
      </w:r>
      <w:r w:rsidRPr="007110F1">
        <w:rPr>
          <w:rFonts w:cs="Times New Roman"/>
        </w:rPr>
        <w:t>, Alencar compara esse aspecto à superfície resguardada pelo direito de propriedade territorial.</w:t>
      </w:r>
    </w:p>
  </w:footnote>
  <w:footnote w:id="14">
    <w:p w:rsidR="00A91A9A" w:rsidRPr="007110F1" w:rsidRDefault="00A91A9A" w:rsidP="007110F1">
      <w:pPr>
        <w:pStyle w:val="Textodenotaderodap"/>
        <w:spacing w:after="40"/>
        <w:jc w:val="left"/>
      </w:pPr>
      <w:r w:rsidRPr="007110F1">
        <w:rPr>
          <w:rStyle w:val="Refdenotaderodap"/>
        </w:rPr>
        <w:footnoteRef/>
      </w:r>
      <w:r w:rsidRPr="007110F1">
        <w:t xml:space="preserve"> </w:t>
      </w:r>
      <w:r w:rsidRPr="007110F1">
        <w:rPr>
          <w:rFonts w:cs="Times New Roman"/>
        </w:rPr>
        <w:t>ALENCAR, “Propriedade litteraria...”, p. 29.</w:t>
      </w:r>
    </w:p>
  </w:footnote>
  <w:footnote w:id="15">
    <w:p w:rsidR="00A91A9A" w:rsidRPr="007110F1" w:rsidRDefault="00A91A9A" w:rsidP="007110F1">
      <w:pPr>
        <w:pStyle w:val="Textodenotaderodap"/>
        <w:spacing w:after="40"/>
        <w:jc w:val="left"/>
      </w:pPr>
      <w:r w:rsidRPr="007110F1">
        <w:rPr>
          <w:rStyle w:val="Refdenotaderodap"/>
        </w:rPr>
        <w:footnoteRef/>
      </w:r>
      <w:r w:rsidRPr="007110F1">
        <w:t xml:space="preserve"> </w:t>
      </w:r>
      <w:r w:rsidRPr="007110F1">
        <w:rPr>
          <w:rFonts w:cs="Times New Roman"/>
        </w:rPr>
        <w:t xml:space="preserve">BITTAR, Carlos Alberto. “O poder Legislativo e o direito de autor”. </w:t>
      </w:r>
      <w:r w:rsidRPr="007110F1">
        <w:rPr>
          <w:rFonts w:cs="Times New Roman"/>
          <w:i/>
        </w:rPr>
        <w:t>Revista de Informação Legislativa</w:t>
      </w:r>
      <w:r w:rsidRPr="007110F1">
        <w:rPr>
          <w:rFonts w:cs="Times New Roman"/>
        </w:rPr>
        <w:t>, v. 26, n. 101, p. 135-146, jan./mar. 1989, p. 139.</w:t>
      </w:r>
    </w:p>
  </w:footnote>
  <w:footnote w:id="16">
    <w:p w:rsidR="007110F1" w:rsidRPr="007110F1" w:rsidRDefault="007110F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ALENCAR, José de. </w:t>
      </w:r>
      <w:r w:rsidRPr="007110F1">
        <w:rPr>
          <w:rFonts w:cs="Times New Roman"/>
          <w:i/>
        </w:rPr>
        <w:t>Como e porque sou romancista</w:t>
      </w:r>
      <w:r w:rsidRPr="007110F1">
        <w:rPr>
          <w:rFonts w:cs="Times New Roman"/>
        </w:rPr>
        <w:t>. Porto Alegre: Mercado Aberto, 1998, p. 75.</w:t>
      </w:r>
    </w:p>
  </w:footnote>
  <w:footnote w:id="17">
    <w:p w:rsidR="007110F1" w:rsidRPr="007110F1" w:rsidRDefault="007110F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MENEZES, Tobias Barreto de. O que se deve entender por direito autoral. </w:t>
      </w:r>
      <w:r w:rsidRPr="007110F1">
        <w:rPr>
          <w:rFonts w:cs="Times New Roman"/>
          <w:i/>
        </w:rPr>
        <w:t>Diário de Pernambuco</w:t>
      </w:r>
      <w:r w:rsidRPr="007110F1">
        <w:rPr>
          <w:rFonts w:cs="Times New Roman"/>
        </w:rPr>
        <w:t>. 21 de junho de 1882.</w:t>
      </w:r>
    </w:p>
  </w:footnote>
  <w:footnote w:id="18">
    <w:p w:rsidR="007110F1" w:rsidRPr="007110F1" w:rsidRDefault="007110F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ALBUQUERQUE, Diogo Velho Cavalcanti de. Fala do senador Diogo Velho. </w:t>
      </w:r>
      <w:r w:rsidRPr="007110F1">
        <w:rPr>
          <w:rFonts w:cs="Times New Roman"/>
          <w:i/>
        </w:rPr>
        <w:t>Annaes do Senado do Império do Brazil: anno de 1886</w:t>
      </w:r>
      <w:r w:rsidRPr="007110F1">
        <w:rPr>
          <w:rFonts w:cs="Times New Roman"/>
        </w:rPr>
        <w:t xml:space="preserve">. Livro </w:t>
      </w:r>
      <w:proofErr w:type="gramStart"/>
      <w:r w:rsidRPr="007110F1">
        <w:rPr>
          <w:rFonts w:cs="Times New Roman"/>
        </w:rPr>
        <w:t>5</w:t>
      </w:r>
      <w:proofErr w:type="gramEnd"/>
      <w:r w:rsidRPr="007110F1">
        <w:rPr>
          <w:rFonts w:cs="Times New Roman"/>
        </w:rPr>
        <w:t xml:space="preserve">. Sessão de </w:t>
      </w:r>
      <w:proofErr w:type="gramStart"/>
      <w:r w:rsidRPr="007110F1">
        <w:rPr>
          <w:rFonts w:cs="Times New Roman"/>
        </w:rPr>
        <w:t>6</w:t>
      </w:r>
      <w:proofErr w:type="gramEnd"/>
      <w:r w:rsidRPr="007110F1">
        <w:rPr>
          <w:rFonts w:cs="Times New Roman"/>
        </w:rPr>
        <w:t xml:space="preserve"> de outubro de 1886, p. 314. Brasília: Secretaria Especial de Editoração e Publicações - Subsecretaria de Anais do Senado Federal. Transcrição. Disponível em &lt;http://www.senado.leg.br/publicacoes/anais/pdf/Anais_Imperio/1886/1886%</w:t>
      </w:r>
      <w:proofErr w:type="gramStart"/>
      <w:r w:rsidRPr="007110F1">
        <w:rPr>
          <w:rFonts w:cs="Times New Roman"/>
        </w:rPr>
        <w:t>20Livro</w:t>
      </w:r>
      <w:proofErr w:type="gramEnd"/>
      <w:r w:rsidRPr="007110F1">
        <w:rPr>
          <w:rFonts w:cs="Times New Roman"/>
        </w:rPr>
        <w:t xml:space="preserve">%205.pdf&gt;. Acesso: </w:t>
      </w:r>
      <w:proofErr w:type="gramStart"/>
      <w:r w:rsidRPr="007110F1">
        <w:rPr>
          <w:rFonts w:cs="Times New Roman"/>
        </w:rPr>
        <w:t>08 jun</w:t>
      </w:r>
      <w:proofErr w:type="gramEnd"/>
      <w:r w:rsidRPr="007110F1">
        <w:rPr>
          <w:rFonts w:cs="Times New Roman"/>
        </w:rPr>
        <w:t xml:space="preserve"> 2016.</w:t>
      </w:r>
    </w:p>
  </w:footnote>
  <w:footnote w:id="19">
    <w:p w:rsidR="007110F1" w:rsidRPr="007110F1" w:rsidRDefault="007110F1" w:rsidP="007110F1">
      <w:pPr>
        <w:pStyle w:val="Textodenotaderodap"/>
        <w:spacing w:after="40"/>
        <w:jc w:val="left"/>
      </w:pPr>
      <w:r w:rsidRPr="007110F1">
        <w:rPr>
          <w:rStyle w:val="Refdenotaderodap"/>
        </w:rPr>
        <w:footnoteRef/>
      </w:r>
      <w:r w:rsidRPr="007110F1">
        <w:t xml:space="preserve"> </w:t>
      </w:r>
      <w:r w:rsidRPr="007110F1">
        <w:rPr>
          <w:rFonts w:cs="Times New Roman"/>
        </w:rPr>
        <w:t>ALBUQUERQUE, “Fala do senador Diogo Velho...”, p. 317.</w:t>
      </w:r>
    </w:p>
  </w:footnote>
  <w:footnote w:id="20">
    <w:p w:rsidR="007110F1" w:rsidRPr="007110F1" w:rsidRDefault="007110F1" w:rsidP="007110F1">
      <w:pPr>
        <w:pStyle w:val="Textodenotaderodap"/>
        <w:spacing w:after="40"/>
        <w:jc w:val="left"/>
      </w:pPr>
      <w:r w:rsidRPr="007110F1">
        <w:rPr>
          <w:rStyle w:val="Refdenotaderodap"/>
        </w:rPr>
        <w:footnoteRef/>
      </w:r>
      <w:r w:rsidRPr="007110F1">
        <w:t xml:space="preserve"> </w:t>
      </w:r>
      <w:r w:rsidRPr="007110F1">
        <w:rPr>
          <w:rFonts w:cs="Times New Roman"/>
        </w:rPr>
        <w:t>ALBUQUERQUE, “Fala do senador Diogo Velho...”, p. 317.</w:t>
      </w:r>
    </w:p>
  </w:footnote>
  <w:footnote w:id="21">
    <w:p w:rsidR="00832091" w:rsidRPr="007110F1" w:rsidRDefault="00832091" w:rsidP="007110F1">
      <w:pPr>
        <w:pStyle w:val="Textodenotaderodap"/>
        <w:spacing w:after="40"/>
        <w:jc w:val="left"/>
        <w:rPr>
          <w:rFonts w:cs="Times New Roman"/>
        </w:rPr>
      </w:pPr>
      <w:r w:rsidRPr="007110F1">
        <w:rPr>
          <w:rStyle w:val="Refdenotaderodap"/>
          <w:rFonts w:cs="Times New Roman"/>
        </w:rPr>
        <w:footnoteRef/>
      </w:r>
      <w:r w:rsidRPr="007110F1">
        <w:rPr>
          <w:rFonts w:cs="Times New Roman"/>
        </w:rPr>
        <w:t xml:space="preserve"> Lembre-se, aqui, que a proteção era voltada também aos autores estrangeiros domiciliados no Império, excluindo, na prática, todos os outros. A justificativa para essa disposição dizia respeito à necessidade de construção de acordos de reciprocidade diplomática que garantissem também a proteção de autores brasileiros em outros países.</w:t>
      </w:r>
    </w:p>
  </w:footnote>
  <w:footnote w:id="22">
    <w:p w:rsidR="007110F1" w:rsidRPr="007110F1" w:rsidRDefault="007110F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MALLET, João Carlos de Medeiros Pardal</w:t>
      </w:r>
      <w:r w:rsidRPr="007110F1">
        <w:rPr>
          <w:rFonts w:cs="Times New Roman"/>
          <w:i/>
        </w:rPr>
        <w:t xml:space="preserve">. </w:t>
      </w:r>
      <w:r w:rsidRPr="007110F1">
        <w:rPr>
          <w:rFonts w:cs="Times New Roman"/>
        </w:rPr>
        <w:t>“Direito Autoral, Carta aberta a Benjamin Constant”</w:t>
      </w:r>
      <w:r w:rsidRPr="007110F1">
        <w:rPr>
          <w:rFonts w:cs="Times New Roman"/>
          <w:i/>
        </w:rPr>
        <w:t>.</w:t>
      </w:r>
      <w:r w:rsidRPr="007110F1">
        <w:rPr>
          <w:rFonts w:cs="Times New Roman"/>
        </w:rPr>
        <w:t xml:space="preserve"> </w:t>
      </w:r>
      <w:r w:rsidRPr="007110F1">
        <w:rPr>
          <w:rFonts w:cs="Times New Roman"/>
          <w:i/>
        </w:rPr>
        <w:t>Gazeta de Notícias</w:t>
      </w:r>
      <w:r w:rsidRPr="007110F1">
        <w:rPr>
          <w:rFonts w:cs="Times New Roman"/>
        </w:rPr>
        <w:t>, Rio de Janeiro, 26 abr./ 1 mai./ 3 mai. de 1890.</w:t>
      </w:r>
    </w:p>
  </w:footnote>
  <w:footnote w:id="23">
    <w:p w:rsidR="007110F1" w:rsidRPr="007110F1" w:rsidRDefault="007110F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MALLET, </w:t>
      </w:r>
      <w:r w:rsidRPr="007110F1">
        <w:rPr>
          <w:rFonts w:cs="Times New Roman"/>
          <w:i/>
        </w:rPr>
        <w:t>“</w:t>
      </w:r>
      <w:r w:rsidRPr="007110F1">
        <w:rPr>
          <w:rFonts w:cs="Times New Roman"/>
        </w:rPr>
        <w:t>Direito Autoral..</w:t>
      </w:r>
      <w:r w:rsidRPr="007110F1">
        <w:rPr>
          <w:rFonts w:cs="Times New Roman"/>
          <w:i/>
        </w:rPr>
        <w:t>.</w:t>
      </w:r>
      <w:r w:rsidRPr="007110F1">
        <w:rPr>
          <w:rFonts w:cs="Times New Roman"/>
        </w:rPr>
        <w:t>”.</w:t>
      </w:r>
    </w:p>
  </w:footnote>
  <w:footnote w:id="24">
    <w:p w:rsidR="00832091" w:rsidRPr="007110F1" w:rsidRDefault="00832091" w:rsidP="007110F1">
      <w:pPr>
        <w:pStyle w:val="Textodenotaderodap"/>
        <w:spacing w:after="40"/>
        <w:jc w:val="left"/>
        <w:rPr>
          <w:rFonts w:cs="Times New Roman"/>
        </w:rPr>
      </w:pPr>
      <w:r w:rsidRPr="007110F1">
        <w:rPr>
          <w:rStyle w:val="Refdenotaderodap"/>
          <w:rFonts w:cs="Times New Roman"/>
        </w:rPr>
        <w:footnoteRef/>
      </w:r>
      <w:r w:rsidRPr="007110F1">
        <w:rPr>
          <w:rFonts w:cs="Times New Roman"/>
        </w:rPr>
        <w:t xml:space="preserve"> A diferença nas datas de apresentação dos projetos é menor que um mês. Pedro Américo expôs sua proposta na sessão de 12 de julho de 1893 e logo depois, em </w:t>
      </w:r>
      <w:proofErr w:type="gramStart"/>
      <w:r w:rsidRPr="007110F1">
        <w:rPr>
          <w:rFonts w:cs="Times New Roman"/>
        </w:rPr>
        <w:t>7</w:t>
      </w:r>
      <w:proofErr w:type="gramEnd"/>
      <w:r w:rsidRPr="007110F1">
        <w:rPr>
          <w:rFonts w:cs="Times New Roman"/>
        </w:rPr>
        <w:t xml:space="preserve"> de agosto do mesmo ano, Montenegro apresentou seu projeto.</w:t>
      </w:r>
    </w:p>
  </w:footnote>
  <w:footnote w:id="25">
    <w:p w:rsidR="007110F1" w:rsidRPr="007110F1" w:rsidRDefault="007110F1" w:rsidP="007110F1">
      <w:pPr>
        <w:pStyle w:val="Textodenotaderodap"/>
        <w:spacing w:after="40"/>
        <w:jc w:val="left"/>
        <w:rPr>
          <w:rFonts w:cs="Times New Roman"/>
          <w:shd w:val="clear" w:color="auto" w:fill="FFFFFF"/>
        </w:rPr>
      </w:pPr>
      <w:r w:rsidRPr="007110F1">
        <w:rPr>
          <w:rStyle w:val="Refdenotaderodap"/>
        </w:rPr>
        <w:footnoteRef/>
      </w:r>
      <w:r w:rsidRPr="007110F1">
        <w:t xml:space="preserve"> </w:t>
      </w:r>
      <w:r w:rsidRPr="007110F1">
        <w:rPr>
          <w:rFonts w:cs="Times New Roman"/>
        </w:rPr>
        <w:t>AMÉRICO, Pedro.</w:t>
      </w:r>
      <w:r w:rsidRPr="007110F1">
        <w:rPr>
          <w:rFonts w:cs="Times New Roman"/>
          <w:shd w:val="clear" w:color="auto" w:fill="FFFFFF"/>
        </w:rPr>
        <w:t xml:space="preserve"> Projeto de lei de autoria de Pedro Américo sobre o direito autoral.</w:t>
      </w:r>
      <w:r w:rsidRPr="007110F1">
        <w:rPr>
          <w:rStyle w:val="apple-converted-space"/>
          <w:rFonts w:cs="Times New Roman"/>
          <w:shd w:val="clear" w:color="auto" w:fill="FFFFFF"/>
        </w:rPr>
        <w:t> </w:t>
      </w:r>
      <w:r w:rsidRPr="007110F1">
        <w:rPr>
          <w:rStyle w:val="Forte"/>
          <w:rFonts w:cs="Times New Roman"/>
          <w:b w:val="0"/>
          <w:i/>
          <w:shd w:val="clear" w:color="auto" w:fill="FFFFFF"/>
        </w:rPr>
        <w:t>Annaes da Camara dos deputados</w:t>
      </w:r>
      <w:r w:rsidRPr="007110F1">
        <w:rPr>
          <w:rFonts w:cs="Times New Roman"/>
          <w:shd w:val="clear" w:color="auto" w:fill="FFFFFF"/>
        </w:rPr>
        <w:t>, p. 224-226. 12 jul. 1893, p. 226. Rio de Janeiro: Imprensa Nacional, 1894. Disponível em: &lt;http://imagem.camara.gov.br/diarios.asp?</w:t>
      </w:r>
      <w:proofErr w:type="gramStart"/>
      <w:r w:rsidRPr="007110F1">
        <w:rPr>
          <w:rFonts w:cs="Times New Roman"/>
          <w:shd w:val="clear" w:color="auto" w:fill="FFFFFF"/>
        </w:rPr>
        <w:t>selCodColecaoCsv</w:t>
      </w:r>
      <w:proofErr w:type="gramEnd"/>
      <w:r w:rsidRPr="007110F1">
        <w:rPr>
          <w:rFonts w:cs="Times New Roman"/>
          <w:shd w:val="clear" w:color="auto" w:fill="FFFFFF"/>
        </w:rPr>
        <w:t>=D&gt;. Acesso em: 08 jun. 2016.</w:t>
      </w:r>
    </w:p>
  </w:footnote>
  <w:footnote w:id="26">
    <w:p w:rsidR="007110F1" w:rsidRPr="007110F1" w:rsidRDefault="007110F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shd w:val="clear" w:color="auto" w:fill="FFFFFF"/>
        </w:rPr>
        <w:t>MONTENEGRO, Augusto. Projeto de lei de autoria de Augusto Montenegro sobre o direito autoral.</w:t>
      </w:r>
      <w:r w:rsidRPr="007110F1">
        <w:rPr>
          <w:rStyle w:val="apple-converted-space"/>
          <w:rFonts w:cs="Times New Roman"/>
          <w:shd w:val="clear" w:color="auto" w:fill="FFFFFF"/>
        </w:rPr>
        <w:t> </w:t>
      </w:r>
      <w:r w:rsidRPr="007110F1">
        <w:rPr>
          <w:rStyle w:val="Forte"/>
          <w:rFonts w:cs="Times New Roman"/>
          <w:b w:val="0"/>
          <w:i/>
          <w:shd w:val="clear" w:color="auto" w:fill="FFFFFF"/>
        </w:rPr>
        <w:t>Annaes da Camara dos deputados.</w:t>
      </w:r>
      <w:r w:rsidRPr="007110F1">
        <w:rPr>
          <w:rStyle w:val="apple-converted-space"/>
          <w:rFonts w:cs="Times New Roman"/>
          <w:b/>
          <w:bCs/>
          <w:shd w:val="clear" w:color="auto" w:fill="FFFFFF"/>
        </w:rPr>
        <w:t> </w:t>
      </w:r>
      <w:r w:rsidRPr="007110F1">
        <w:rPr>
          <w:rFonts w:cs="Times New Roman"/>
          <w:shd w:val="clear" w:color="auto" w:fill="FFFFFF"/>
        </w:rPr>
        <w:t>Rio de Janeiro, p. 157-160. 07 ago. 1893, p. 159. Disponível em: &lt;http://imagem.camara.gov.br/diarios.asp?</w:t>
      </w:r>
      <w:proofErr w:type="gramStart"/>
      <w:r w:rsidRPr="007110F1">
        <w:rPr>
          <w:rFonts w:cs="Times New Roman"/>
          <w:shd w:val="clear" w:color="auto" w:fill="FFFFFF"/>
        </w:rPr>
        <w:t>selCodColecaoCsv</w:t>
      </w:r>
      <w:proofErr w:type="gramEnd"/>
      <w:r w:rsidRPr="007110F1">
        <w:rPr>
          <w:rFonts w:cs="Times New Roman"/>
          <w:shd w:val="clear" w:color="auto" w:fill="FFFFFF"/>
        </w:rPr>
        <w:t>=D&gt;. Acesso em: 08 jun. 2016.</w:t>
      </w:r>
    </w:p>
  </w:footnote>
  <w:footnote w:id="27">
    <w:p w:rsidR="007110F1" w:rsidRPr="007110F1" w:rsidRDefault="007110F1" w:rsidP="007110F1">
      <w:pPr>
        <w:pStyle w:val="Textodenotaderodap"/>
        <w:spacing w:after="40"/>
        <w:jc w:val="left"/>
        <w:rPr>
          <w:rFonts w:cs="Times New Roman"/>
        </w:rPr>
      </w:pPr>
      <w:r w:rsidRPr="007110F1">
        <w:rPr>
          <w:rStyle w:val="Refdenotaderodap"/>
        </w:rPr>
        <w:footnoteRef/>
      </w:r>
      <w:r w:rsidRPr="007110F1">
        <w:t xml:space="preserve"> </w:t>
      </w:r>
      <w:r w:rsidRPr="007110F1">
        <w:rPr>
          <w:rFonts w:cs="Times New Roman"/>
        </w:rPr>
        <w:t xml:space="preserve">ANNAES DA CAMARA DOS DEPUTADOS. Ordem do dia. Primeira sessão da Segunda Legislatura. Sessões de 1 a 30 de agosto de 1894, p. 122-126. </w:t>
      </w:r>
      <w:r w:rsidRPr="007110F1">
        <w:rPr>
          <w:rFonts w:cs="Times New Roman"/>
          <w:shd w:val="clear" w:color="auto" w:fill="FFFFFF"/>
        </w:rPr>
        <w:t>Rio de Janeiro: Imprensa Nacional,</w:t>
      </w:r>
      <w:r w:rsidRPr="007110F1">
        <w:rPr>
          <w:rFonts w:cs="Times New Roman"/>
        </w:rPr>
        <w:t xml:space="preserve"> 1895, p. 124. Disponível em: &lt;http://imagem.camara.gov.br/dc_20b.asp?</w:t>
      </w:r>
      <w:proofErr w:type="gramStart"/>
      <w:r w:rsidRPr="007110F1">
        <w:rPr>
          <w:rFonts w:cs="Times New Roman"/>
        </w:rPr>
        <w:t>selCodColecaoCsv</w:t>
      </w:r>
      <w:proofErr w:type="gramEnd"/>
      <w:r w:rsidRPr="007110F1">
        <w:rPr>
          <w:rFonts w:cs="Times New Roman"/>
        </w:rPr>
        <w:t>=A&amp;Datain=13/8/1894#/&gt;. Acesso em: 08 jun.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94A55"/>
    <w:multiLevelType w:val="multilevel"/>
    <w:tmpl w:val="BF96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2539B"/>
    <w:multiLevelType w:val="multilevel"/>
    <w:tmpl w:val="4A284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6A0A44"/>
    <w:multiLevelType w:val="multilevel"/>
    <w:tmpl w:val="FCDAD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404FB6"/>
    <w:rsid w:val="000269F9"/>
    <w:rsid w:val="00036C0D"/>
    <w:rsid w:val="000A0EA2"/>
    <w:rsid w:val="00134B53"/>
    <w:rsid w:val="00175856"/>
    <w:rsid w:val="00192D6D"/>
    <w:rsid w:val="00196711"/>
    <w:rsid w:val="001B7AB7"/>
    <w:rsid w:val="001E6517"/>
    <w:rsid w:val="002079B4"/>
    <w:rsid w:val="002432D1"/>
    <w:rsid w:val="00252CD1"/>
    <w:rsid w:val="00253A9D"/>
    <w:rsid w:val="00265C87"/>
    <w:rsid w:val="00266305"/>
    <w:rsid w:val="00290FDE"/>
    <w:rsid w:val="002A7F28"/>
    <w:rsid w:val="00347280"/>
    <w:rsid w:val="003C034C"/>
    <w:rsid w:val="003C71D3"/>
    <w:rsid w:val="003E53A4"/>
    <w:rsid w:val="003F66D1"/>
    <w:rsid w:val="00404FB6"/>
    <w:rsid w:val="00407EEC"/>
    <w:rsid w:val="004526FA"/>
    <w:rsid w:val="004A33A7"/>
    <w:rsid w:val="004F1A8D"/>
    <w:rsid w:val="00534DB6"/>
    <w:rsid w:val="00551261"/>
    <w:rsid w:val="005651A7"/>
    <w:rsid w:val="0058115F"/>
    <w:rsid w:val="005A13E6"/>
    <w:rsid w:val="005A613F"/>
    <w:rsid w:val="005A7074"/>
    <w:rsid w:val="005D23AB"/>
    <w:rsid w:val="00624A20"/>
    <w:rsid w:val="006F4C99"/>
    <w:rsid w:val="007110F1"/>
    <w:rsid w:val="0073197A"/>
    <w:rsid w:val="00733CCC"/>
    <w:rsid w:val="00752C72"/>
    <w:rsid w:val="00832091"/>
    <w:rsid w:val="0087426F"/>
    <w:rsid w:val="008A7201"/>
    <w:rsid w:val="008C5ABD"/>
    <w:rsid w:val="008D5665"/>
    <w:rsid w:val="008F2473"/>
    <w:rsid w:val="00933976"/>
    <w:rsid w:val="0094675D"/>
    <w:rsid w:val="00952F9B"/>
    <w:rsid w:val="00957CDC"/>
    <w:rsid w:val="009650FF"/>
    <w:rsid w:val="00984AEB"/>
    <w:rsid w:val="009B3D81"/>
    <w:rsid w:val="009D16F2"/>
    <w:rsid w:val="009E3944"/>
    <w:rsid w:val="00A04284"/>
    <w:rsid w:val="00A05D32"/>
    <w:rsid w:val="00A243E1"/>
    <w:rsid w:val="00A7741D"/>
    <w:rsid w:val="00A91A9A"/>
    <w:rsid w:val="00AA19EF"/>
    <w:rsid w:val="00AA7280"/>
    <w:rsid w:val="00AF2CFA"/>
    <w:rsid w:val="00B37444"/>
    <w:rsid w:val="00B669AA"/>
    <w:rsid w:val="00BC5EFA"/>
    <w:rsid w:val="00BC620D"/>
    <w:rsid w:val="00C12F0B"/>
    <w:rsid w:val="00C3441C"/>
    <w:rsid w:val="00C6324C"/>
    <w:rsid w:val="00CD0187"/>
    <w:rsid w:val="00CF2FA1"/>
    <w:rsid w:val="00CF41EA"/>
    <w:rsid w:val="00D02CCC"/>
    <w:rsid w:val="00D1765E"/>
    <w:rsid w:val="00D30702"/>
    <w:rsid w:val="00D54471"/>
    <w:rsid w:val="00D61D4A"/>
    <w:rsid w:val="00E165C3"/>
    <w:rsid w:val="00E255D6"/>
    <w:rsid w:val="00E33D3A"/>
    <w:rsid w:val="00E82FDF"/>
    <w:rsid w:val="00E85249"/>
    <w:rsid w:val="00E85BBD"/>
    <w:rsid w:val="00E911B8"/>
    <w:rsid w:val="00E94E8C"/>
    <w:rsid w:val="00EA0484"/>
    <w:rsid w:val="00EB1311"/>
    <w:rsid w:val="00EB44CC"/>
    <w:rsid w:val="00EB79C3"/>
    <w:rsid w:val="00F25A40"/>
    <w:rsid w:val="00F26389"/>
    <w:rsid w:val="00F803BC"/>
    <w:rsid w:val="00F84ADB"/>
    <w:rsid w:val="00F952FD"/>
    <w:rsid w:val="00FE23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FB6"/>
    <w:pPr>
      <w:spacing w:after="0" w:line="360" w:lineRule="auto"/>
      <w:jc w:val="both"/>
    </w:pPr>
    <w:rPr>
      <w:rFonts w:ascii="Times New Roman" w:hAnsi="Times New Roman"/>
      <w:sz w:val="24"/>
    </w:rPr>
  </w:style>
  <w:style w:type="paragraph" w:styleId="Ttulo3">
    <w:name w:val="heading 3"/>
    <w:basedOn w:val="Normal"/>
    <w:link w:val="Ttulo3Char"/>
    <w:uiPriority w:val="9"/>
    <w:qFormat/>
    <w:rsid w:val="009D16F2"/>
    <w:pPr>
      <w:spacing w:before="100" w:beforeAutospacing="1" w:after="100" w:afterAutospacing="1" w:line="240" w:lineRule="auto"/>
      <w:jc w:val="left"/>
      <w:outlineLvl w:val="2"/>
    </w:pPr>
    <w:rPr>
      <w:rFonts w:eastAsia="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4FB6"/>
    <w:pPr>
      <w:ind w:left="720"/>
      <w:contextualSpacing/>
    </w:pPr>
  </w:style>
  <w:style w:type="paragraph" w:styleId="Textodenotaderodap">
    <w:name w:val="footnote text"/>
    <w:aliases w:val="Char, Char"/>
    <w:basedOn w:val="Normal"/>
    <w:link w:val="TextodenotaderodapChar"/>
    <w:uiPriority w:val="99"/>
    <w:unhideWhenUsed/>
    <w:rsid w:val="00404FB6"/>
    <w:pPr>
      <w:spacing w:line="240" w:lineRule="auto"/>
    </w:pPr>
    <w:rPr>
      <w:sz w:val="20"/>
      <w:szCs w:val="20"/>
    </w:rPr>
  </w:style>
  <w:style w:type="character" w:customStyle="1" w:styleId="TextodenotaderodapChar">
    <w:name w:val="Texto de nota de rodapé Char"/>
    <w:aliases w:val="Char Char, Char Char"/>
    <w:basedOn w:val="Fontepargpadro"/>
    <w:link w:val="Textodenotaderodap"/>
    <w:uiPriority w:val="99"/>
    <w:rsid w:val="00404FB6"/>
    <w:rPr>
      <w:rFonts w:ascii="Times New Roman" w:hAnsi="Times New Roman"/>
      <w:sz w:val="20"/>
      <w:szCs w:val="20"/>
    </w:rPr>
  </w:style>
  <w:style w:type="character" w:styleId="Refdenotaderodap">
    <w:name w:val="footnote reference"/>
    <w:basedOn w:val="Fontepargpadro"/>
    <w:uiPriority w:val="99"/>
    <w:unhideWhenUsed/>
    <w:rsid w:val="00404FB6"/>
    <w:rPr>
      <w:vertAlign w:val="superscript"/>
    </w:rPr>
  </w:style>
  <w:style w:type="character" w:customStyle="1" w:styleId="Ttulo3Char">
    <w:name w:val="Título 3 Char"/>
    <w:basedOn w:val="Fontepargpadro"/>
    <w:link w:val="Ttulo3"/>
    <w:uiPriority w:val="9"/>
    <w:rsid w:val="009D16F2"/>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9D16F2"/>
    <w:pPr>
      <w:spacing w:before="100" w:beforeAutospacing="1" w:after="100" w:afterAutospacing="1" w:line="240" w:lineRule="auto"/>
      <w:jc w:val="left"/>
    </w:pPr>
    <w:rPr>
      <w:rFonts w:eastAsia="Times New Roman" w:cs="Times New Roman"/>
      <w:szCs w:val="24"/>
      <w:lang w:eastAsia="pt-BR"/>
    </w:rPr>
  </w:style>
  <w:style w:type="character" w:styleId="Forte">
    <w:name w:val="Strong"/>
    <w:basedOn w:val="Fontepargpadro"/>
    <w:uiPriority w:val="22"/>
    <w:qFormat/>
    <w:rsid w:val="009D16F2"/>
    <w:rPr>
      <w:b/>
      <w:bCs/>
    </w:rPr>
  </w:style>
  <w:style w:type="character" w:customStyle="1" w:styleId="apple-converted-space">
    <w:name w:val="apple-converted-space"/>
    <w:basedOn w:val="Fontepargpadro"/>
    <w:rsid w:val="009D16F2"/>
  </w:style>
  <w:style w:type="character" w:styleId="nfase">
    <w:name w:val="Emphasis"/>
    <w:basedOn w:val="Fontepargpadro"/>
    <w:uiPriority w:val="20"/>
    <w:qFormat/>
    <w:rsid w:val="009D16F2"/>
    <w:rPr>
      <w:i/>
      <w:iCs/>
    </w:rPr>
  </w:style>
  <w:style w:type="paragraph" w:customStyle="1" w:styleId="subtitulo">
    <w:name w:val="subtitulo"/>
    <w:basedOn w:val="Normal"/>
    <w:rsid w:val="009D16F2"/>
    <w:pPr>
      <w:spacing w:before="100" w:beforeAutospacing="1" w:after="100" w:afterAutospacing="1" w:line="240" w:lineRule="auto"/>
      <w:jc w:val="left"/>
    </w:pPr>
    <w:rPr>
      <w:rFonts w:eastAsia="Times New Roman" w:cs="Times New Roman"/>
      <w:szCs w:val="24"/>
      <w:lang w:eastAsia="pt-BR"/>
    </w:rPr>
  </w:style>
  <w:style w:type="character" w:styleId="Hyperlink">
    <w:name w:val="Hyperlink"/>
    <w:basedOn w:val="Fontepargpadro"/>
    <w:uiPriority w:val="99"/>
    <w:semiHidden/>
    <w:unhideWhenUsed/>
    <w:rsid w:val="009D16F2"/>
    <w:rPr>
      <w:color w:val="0000FF"/>
      <w:u w:val="single"/>
    </w:rPr>
  </w:style>
  <w:style w:type="character" w:styleId="Refdecomentrio">
    <w:name w:val="annotation reference"/>
    <w:basedOn w:val="Fontepargpadro"/>
    <w:uiPriority w:val="99"/>
    <w:semiHidden/>
    <w:unhideWhenUsed/>
    <w:rsid w:val="003E53A4"/>
    <w:rPr>
      <w:sz w:val="16"/>
      <w:szCs w:val="16"/>
    </w:rPr>
  </w:style>
  <w:style w:type="paragraph" w:styleId="Textodecomentrio">
    <w:name w:val="annotation text"/>
    <w:basedOn w:val="Normal"/>
    <w:link w:val="TextodecomentrioChar"/>
    <w:uiPriority w:val="99"/>
    <w:semiHidden/>
    <w:unhideWhenUsed/>
    <w:rsid w:val="003E53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E53A4"/>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E53A4"/>
    <w:rPr>
      <w:b/>
      <w:bCs/>
    </w:rPr>
  </w:style>
  <w:style w:type="character" w:customStyle="1" w:styleId="AssuntodocomentrioChar">
    <w:name w:val="Assunto do comentário Char"/>
    <w:basedOn w:val="TextodecomentrioChar"/>
    <w:link w:val="Assuntodocomentrio"/>
    <w:uiPriority w:val="99"/>
    <w:semiHidden/>
    <w:rsid w:val="003E53A4"/>
    <w:rPr>
      <w:b/>
      <w:bCs/>
    </w:rPr>
  </w:style>
  <w:style w:type="paragraph" w:styleId="Textodebalo">
    <w:name w:val="Balloon Text"/>
    <w:basedOn w:val="Normal"/>
    <w:link w:val="TextodebaloChar"/>
    <w:uiPriority w:val="99"/>
    <w:semiHidden/>
    <w:unhideWhenUsed/>
    <w:rsid w:val="003E53A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53A4"/>
    <w:rPr>
      <w:rFonts w:ascii="Tahoma" w:hAnsi="Tahoma" w:cs="Tahoma"/>
      <w:sz w:val="16"/>
      <w:szCs w:val="16"/>
    </w:rPr>
  </w:style>
  <w:style w:type="paragraph" w:styleId="Textodenotadefim">
    <w:name w:val="endnote text"/>
    <w:basedOn w:val="Normal"/>
    <w:link w:val="TextodenotadefimChar"/>
    <w:uiPriority w:val="99"/>
    <w:semiHidden/>
    <w:unhideWhenUsed/>
    <w:rsid w:val="00D5447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54471"/>
    <w:rPr>
      <w:rFonts w:ascii="Times New Roman" w:hAnsi="Times New Roman"/>
      <w:sz w:val="20"/>
      <w:szCs w:val="20"/>
    </w:rPr>
  </w:style>
  <w:style w:type="character" w:styleId="Refdenotadefim">
    <w:name w:val="endnote reference"/>
    <w:basedOn w:val="Fontepargpadro"/>
    <w:uiPriority w:val="99"/>
    <w:semiHidden/>
    <w:unhideWhenUsed/>
    <w:rsid w:val="00D54471"/>
    <w:rPr>
      <w:vertAlign w:val="superscript"/>
    </w:rPr>
  </w:style>
</w:styles>
</file>

<file path=word/webSettings.xml><?xml version="1.0" encoding="utf-8"?>
<w:webSettings xmlns:r="http://schemas.openxmlformats.org/officeDocument/2006/relationships" xmlns:w="http://schemas.openxmlformats.org/wordprocessingml/2006/main">
  <w:divs>
    <w:div w:id="27033149">
      <w:bodyDiv w:val="1"/>
      <w:marLeft w:val="0"/>
      <w:marRight w:val="0"/>
      <w:marTop w:val="0"/>
      <w:marBottom w:val="0"/>
      <w:divBdr>
        <w:top w:val="none" w:sz="0" w:space="0" w:color="auto"/>
        <w:left w:val="none" w:sz="0" w:space="0" w:color="auto"/>
        <w:bottom w:val="none" w:sz="0" w:space="0" w:color="auto"/>
        <w:right w:val="none" w:sz="0" w:space="0" w:color="auto"/>
      </w:divBdr>
      <w:divsChild>
        <w:div w:id="1025910996">
          <w:marLeft w:val="0"/>
          <w:marRight w:val="0"/>
          <w:marTop w:val="240"/>
          <w:marBottom w:val="60"/>
          <w:divBdr>
            <w:top w:val="none" w:sz="0" w:space="0" w:color="auto"/>
            <w:left w:val="none" w:sz="0" w:space="0" w:color="auto"/>
            <w:bottom w:val="single" w:sz="6"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71025-3B26-4BA6-953A-08E1DE33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6750</Words>
  <Characters>36452</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Bastardis</dc:creator>
  <cp:lastModifiedBy>JB</cp:lastModifiedBy>
  <cp:revision>2</cp:revision>
  <dcterms:created xsi:type="dcterms:W3CDTF">2018-06-18T18:49:00Z</dcterms:created>
  <dcterms:modified xsi:type="dcterms:W3CDTF">2018-06-18T18:49:00Z</dcterms:modified>
</cp:coreProperties>
</file>