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6E" w:rsidRPr="008766B2" w:rsidRDefault="002F7A3F" w:rsidP="00FC75B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766B2">
        <w:rPr>
          <w:rFonts w:ascii="Arial" w:hAnsi="Arial" w:cs="Arial"/>
          <w:b/>
          <w:sz w:val="24"/>
          <w:szCs w:val="24"/>
        </w:rPr>
        <w:t>Perfil Epidemiológico da Hipertensão Arterial Sistêmica na população de Cajazeiras, Paraíba.</w:t>
      </w:r>
    </w:p>
    <w:p w:rsidR="002F7A3F" w:rsidRPr="008766B2" w:rsidRDefault="002F7A3F" w:rsidP="008766B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766B2">
        <w:rPr>
          <w:rFonts w:ascii="Arial" w:hAnsi="Arial" w:cs="Arial"/>
          <w:b/>
          <w:sz w:val="24"/>
          <w:szCs w:val="24"/>
        </w:rPr>
        <w:t>Hipertensão arterial sistêmica; Perfil epidemiológico; Cajazeiras, PB</w:t>
      </w:r>
    </w:p>
    <w:p w:rsidR="002F7A3F" w:rsidRPr="008766B2" w:rsidRDefault="002F7A3F" w:rsidP="008766B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766B2">
        <w:rPr>
          <w:rFonts w:ascii="Arial" w:hAnsi="Arial" w:cs="Arial"/>
          <w:sz w:val="24"/>
          <w:szCs w:val="24"/>
          <w:lang w:val="en-US"/>
        </w:rPr>
        <w:t>Epidemiological Profile of systemic hypertension in the population of Cajazeiras, Paraíba.</w:t>
      </w:r>
    </w:p>
    <w:p w:rsidR="002F7A3F" w:rsidRPr="008766B2" w:rsidRDefault="002F7A3F" w:rsidP="008766B2">
      <w:pPr>
        <w:spacing w:line="360" w:lineRule="auto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Hypertension; Epidemiology; Cajazeiras, PB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Resumo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 xml:space="preserve">Fundamentos: 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A hipertensão arterial sistêmica (HAS) consiste numa d</w:t>
      </w:r>
      <w:bookmarkStart w:id="0" w:name="_GoBack"/>
      <w:bookmarkEnd w:id="0"/>
      <w:r w:rsidRPr="008766B2">
        <w:rPr>
          <w:rFonts w:ascii="Arial" w:hAnsi="Arial" w:cs="Arial"/>
          <w:sz w:val="24"/>
          <w:szCs w:val="24"/>
        </w:rPr>
        <w:t>oença assintomática, com alta prevalência e baixas taxas de controle. A relevante parcela de hipertensos não diagnosticados apresenta-se como um importante problema de saúde pública.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Objetivos: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Avaliar o perfil epidemiológico da HAS na cidade de Cajazeiras- PB, estratificando-a de acordo com a PA apresentada, verificando a prevalência dos hipertensos não diagnosticados e analisar os fatores de risco (FR) cardiovasculares mais prevalentes.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Métodos: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Estudo analítico, descritivo e transversal, na cidade de Cajazeiras, PB. Foi aferida a PA, medida a circunferência abdominal, a altura e o peso e aplicado um questionário referente à FR cardiovasculares a todos os participantes. Os testes do Qui-quadrado e o Exato de Fisher foram empregados na comparação de proporções. Considerou-se um nível de significância de 5% (p &lt; 0,05).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Resultados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 xml:space="preserve">O estudo contou com um total de 656 participantes, sendo 68,43% do gênero feminino. A prevalência global da HAS foi de 33,84%, sendo 8,38% não diagnosticados.  Relativamente à população hipertensa, 63,06% eram do gênero feminino. Do total de hipertensos, 27,02% não eram diagnosticados previamente. Os principais FR encontrados foram: sedentarismo (69,6%), antecedentes de HAS </w:t>
      </w:r>
      <w:r w:rsidRPr="008766B2">
        <w:rPr>
          <w:rFonts w:ascii="Arial" w:hAnsi="Arial" w:cs="Arial"/>
          <w:sz w:val="24"/>
          <w:szCs w:val="24"/>
        </w:rPr>
        <w:lastRenderedPageBreak/>
        <w:t>(58,4%), consumo exagerado de sal (53,7%), sobrepeso ou obesidade (52,5%) e circunferência abdominal aumentada (41,9%).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Conclusão</w:t>
      </w:r>
    </w:p>
    <w:p w:rsidR="00943240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Pode-se identificar a alta prevalência da HAS não diagnosticada na população estudada (8,38%), principalmente no que corresponde aos adultos jovens e no sexo masculino. As baixas taxas de controle da PA e a alta prevalência dos fatores de risco modificáveis na população também devem ser ressaltadas.</w:t>
      </w:r>
    </w:p>
    <w:p w:rsidR="008766B2" w:rsidRPr="008766B2" w:rsidRDefault="008766B2" w:rsidP="008766B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766B2">
        <w:rPr>
          <w:rFonts w:ascii="Arial" w:hAnsi="Arial" w:cs="Arial"/>
          <w:sz w:val="24"/>
          <w:szCs w:val="24"/>
          <w:lang w:val="en-US"/>
        </w:rPr>
        <w:t>Abstract</w:t>
      </w:r>
    </w:p>
    <w:p w:rsidR="008766B2" w:rsidRPr="008766B2" w:rsidRDefault="008766B2" w:rsidP="008766B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766B2">
        <w:rPr>
          <w:rFonts w:ascii="Arial" w:hAnsi="Arial" w:cs="Arial"/>
          <w:sz w:val="24"/>
          <w:szCs w:val="24"/>
          <w:lang w:val="en-US"/>
        </w:rPr>
        <w:t>Background:</w:t>
      </w:r>
      <w:r w:rsidRPr="008766B2">
        <w:rPr>
          <w:rFonts w:ascii="Arial" w:hAnsi="Arial" w:cs="Arial"/>
          <w:sz w:val="24"/>
          <w:szCs w:val="24"/>
          <w:lang w:val="en-US"/>
        </w:rPr>
        <w:br/>
        <w:t>Hypertension  is an asymptomatic disease, with high prevalence and low control rates. The relevant number (instead of portion) of undiagnosed hypertension presents itself as an important public health problem.</w:t>
      </w:r>
    </w:p>
    <w:p w:rsidR="008766B2" w:rsidRPr="008766B2" w:rsidRDefault="008766B2" w:rsidP="008766B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766B2">
        <w:rPr>
          <w:rFonts w:ascii="Arial" w:hAnsi="Arial" w:cs="Arial"/>
          <w:sz w:val="24"/>
          <w:szCs w:val="24"/>
          <w:lang w:val="en-US"/>
        </w:rPr>
        <w:t>Objectives:</w:t>
      </w:r>
      <w:r w:rsidRPr="008766B2">
        <w:rPr>
          <w:rFonts w:ascii="Arial" w:hAnsi="Arial" w:cs="Arial"/>
          <w:sz w:val="24"/>
          <w:szCs w:val="24"/>
          <w:lang w:val="en-US"/>
        </w:rPr>
        <w:br/>
        <w:t>To evaluate the epidemiology of hypertension in the city of Cajazeiras-PB, stratifying a</w:t>
      </w:r>
      <w:r>
        <w:rPr>
          <w:rFonts w:ascii="Arial" w:hAnsi="Arial" w:cs="Arial"/>
          <w:sz w:val="24"/>
          <w:szCs w:val="24"/>
          <w:lang w:val="en-US"/>
        </w:rPr>
        <w:t xml:space="preserve">ccording to the blood pressure </w:t>
      </w:r>
      <w:r w:rsidRPr="008766B2">
        <w:rPr>
          <w:rFonts w:ascii="Arial" w:hAnsi="Arial" w:cs="Arial"/>
          <w:sz w:val="24"/>
          <w:szCs w:val="24"/>
          <w:lang w:val="en-US"/>
        </w:rPr>
        <w:t>presented, verifying the prevalence of undiagnosed hypertension and analyzing  the cardiovascular risk factors more prevalent.</w:t>
      </w:r>
    </w:p>
    <w:p w:rsidR="008766B2" w:rsidRPr="008766B2" w:rsidRDefault="008766B2" w:rsidP="008766B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766B2">
        <w:rPr>
          <w:rFonts w:ascii="Arial" w:hAnsi="Arial" w:cs="Arial"/>
          <w:sz w:val="24"/>
          <w:szCs w:val="24"/>
          <w:lang w:val="en-US"/>
        </w:rPr>
        <w:t>Methods:</w:t>
      </w:r>
      <w:r w:rsidRPr="008766B2">
        <w:rPr>
          <w:rFonts w:ascii="Arial" w:hAnsi="Arial" w:cs="Arial"/>
          <w:sz w:val="24"/>
          <w:szCs w:val="24"/>
          <w:lang w:val="en-US"/>
        </w:rPr>
        <w:br/>
        <w:t>Analytical studies, descriptive and transversal  in the city of Cajazeiras, PB. BP was measured, as the waist circumference, height, weight and a questionnaire regarding cardiovascular RF to all participants. The chi-square and Fisher exact were used to compare proportions. It was considered a significance level of 5% (p &lt;0.05).</w:t>
      </w:r>
    </w:p>
    <w:p w:rsidR="008766B2" w:rsidRPr="008766B2" w:rsidRDefault="008766B2" w:rsidP="008766B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766B2">
        <w:rPr>
          <w:rFonts w:ascii="Arial" w:hAnsi="Arial" w:cs="Arial"/>
          <w:sz w:val="24"/>
          <w:szCs w:val="24"/>
          <w:lang w:val="en-US"/>
        </w:rPr>
        <w:br/>
        <w:t>Results</w:t>
      </w:r>
    </w:p>
    <w:p w:rsidR="008766B2" w:rsidRPr="008766B2" w:rsidRDefault="008766B2" w:rsidP="008766B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766B2">
        <w:rPr>
          <w:rFonts w:ascii="Arial" w:hAnsi="Arial" w:cs="Arial"/>
          <w:sz w:val="24"/>
          <w:szCs w:val="24"/>
          <w:lang w:val="en-US"/>
        </w:rPr>
        <w:t>The study included a total of 656 participants, 68.43% female. The overall prevalence of hypertension was 33.84% and 8.38% undiagnosed. For the hypertensive population, 63.06% were female. Of all hypertensive, 27.02% were not previously diagnosed. The main RF were: sedentarism (69.6%), history of hypertension (58.4%), excessive consumption of salt (53.7%), overweight or obesity (52.5%) and increased waist circumference (41 , 9%).</w:t>
      </w:r>
    </w:p>
    <w:p w:rsidR="008766B2" w:rsidRPr="008766B2" w:rsidRDefault="008766B2" w:rsidP="008766B2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766B2">
        <w:rPr>
          <w:rFonts w:ascii="Arial" w:hAnsi="Arial" w:cs="Arial"/>
          <w:sz w:val="24"/>
          <w:szCs w:val="24"/>
          <w:lang w:val="en-US"/>
        </w:rPr>
        <w:lastRenderedPageBreak/>
        <w:t>Conclusion</w:t>
      </w:r>
      <w:r w:rsidRPr="008766B2">
        <w:rPr>
          <w:rFonts w:ascii="Arial" w:hAnsi="Arial" w:cs="Arial"/>
          <w:sz w:val="24"/>
          <w:szCs w:val="24"/>
          <w:lang w:val="en-US"/>
        </w:rPr>
        <w:br/>
        <w:t>It´s possible to identify the high prevalence of undiagnosed hypertension in this population(8.38%), which corresponds mainly to male young adults. The low rates of BP control and high prevalence of modifiable risk factors in the population should also be highlighted.</w:t>
      </w:r>
    </w:p>
    <w:p w:rsidR="002F7A3F" w:rsidRPr="00D814BD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b/>
          <w:sz w:val="24"/>
          <w:szCs w:val="24"/>
        </w:rPr>
        <w:t>Introdução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 xml:space="preserve">A hipertensão arterial sistêmica (HAS) é uma condição clínica multifatorial caracterizada por níveis elevados e sustentados de pressão arterial (PA). A HAS tem alta prevalência e baixas taxas de controle e é considerada um dos principais fatores de risco (FR) modificáveis e um dos mais importantes problemas de saúde pública. A mortalidade por doença cardiovascular (DCV) aumenta progressivamente com a elevação da PA a partir de 115/75 mmHg de forma linear, contínua e independente¹. 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Estima-se que 7,1 milhões de pessoas no mundo morram anualmente por causa de pressão sanguínea elevada e que 4,5% da carga de doença no mundo sejam causadas pela HAS². Entre 1990 a 2006, observou-se uma tendência lenta e constante de redução das taxas de mortalidade cardiovascular¹</w:t>
      </w:r>
      <w:r w:rsidRPr="008766B2">
        <w:rPr>
          <w:rFonts w:ascii="Arial" w:cs="Arial"/>
          <w:sz w:val="24"/>
          <w:szCs w:val="24"/>
        </w:rPr>
        <w:t>⁻</w:t>
      </w:r>
      <w:r w:rsidRPr="008766B2">
        <w:rPr>
          <w:rFonts w:cs="Arial"/>
          <w:sz w:val="24"/>
          <w:szCs w:val="24"/>
        </w:rPr>
        <w:t>⁴</w:t>
      </w:r>
      <w:r w:rsidRPr="008766B2">
        <w:rPr>
          <w:rFonts w:ascii="Arial" w:hAnsi="Arial" w:cs="Arial"/>
          <w:sz w:val="24"/>
          <w:szCs w:val="24"/>
        </w:rPr>
        <w:t>, embora inquéritos populacionais em cidades brasileiras nos últimos 20 anos apontaram uma prevalência de HAS acima de 30%</w:t>
      </w:r>
      <w:r w:rsidRPr="008766B2">
        <w:rPr>
          <w:rFonts w:ascii="Arial" w:cs="Arial"/>
          <w:sz w:val="24"/>
          <w:szCs w:val="24"/>
        </w:rPr>
        <w:t>⁶⁻⁷</w:t>
      </w:r>
      <w:r w:rsidRPr="008766B2">
        <w:rPr>
          <w:rFonts w:ascii="Arial" w:hAnsi="Arial" w:cs="Arial"/>
          <w:sz w:val="24"/>
          <w:szCs w:val="24"/>
        </w:rPr>
        <w:t>.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Por se tratar de uma doença assintomática, ainda é relevante a parcela da população que possui os níveis tensionais elevados e não são diagnosticados. Também é considerável a amostra que apesar de diagnosticada, não apresenta sua pressão controlada, apesar de uso da medicação anti-hipertensiva.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 xml:space="preserve">O presente estudo se justifica em conhecer o perfil epidemiológico da HAS na cidade de Cajazeiras, PB, assim como estudar a prevalência dos FR nessa população, associando-os aos níveis tensionais apresentados. </w:t>
      </w:r>
    </w:p>
    <w:p w:rsidR="002F7A3F" w:rsidRPr="008766B2" w:rsidRDefault="00930486" w:rsidP="008766B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66B2">
        <w:rPr>
          <w:rFonts w:ascii="Arial" w:hAnsi="Arial" w:cs="Arial"/>
          <w:b/>
          <w:sz w:val="24"/>
          <w:szCs w:val="24"/>
        </w:rPr>
        <w:t>Métodos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 xml:space="preserve">Após aprovação pelo Comitê de Ética em Pesquisa da Universidade Estadual da Paraíba (UEPB), protocolo número </w:t>
      </w:r>
      <w:r w:rsidRPr="008766B2">
        <w:rPr>
          <w:rFonts w:ascii="Arial" w:hAnsi="Arial" w:cs="Arial"/>
          <w:color w:val="000000"/>
          <w:sz w:val="24"/>
          <w:szCs w:val="24"/>
          <w:shd w:val="clear" w:color="auto" w:fill="FFFFFF"/>
        </w:rPr>
        <w:t>0454.0.133.000-11,</w:t>
      </w:r>
      <w:r w:rsidRPr="008766B2">
        <w:rPr>
          <w:rFonts w:ascii="Arial" w:hAnsi="Arial" w:cs="Arial"/>
          <w:sz w:val="24"/>
          <w:szCs w:val="24"/>
        </w:rPr>
        <w:t xml:space="preserve"> realizou-se um estudo analítico, descritivo e com delineamento transversal. Esta pesquisa teve como cenários de estudo os bairros e distritos da cidade de Cajazeiras - PB. 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766B2">
        <w:rPr>
          <w:rFonts w:ascii="Arial" w:hAnsi="Arial" w:cs="Arial"/>
          <w:bCs/>
          <w:sz w:val="24"/>
          <w:szCs w:val="24"/>
          <w:shd w:val="clear" w:color="auto" w:fill="FFFFFF"/>
        </w:rPr>
        <w:lastRenderedPageBreak/>
        <w:t>Cajazeiras</w:t>
      </w:r>
      <w:r w:rsidRPr="008766B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766B2">
        <w:rPr>
          <w:rFonts w:ascii="Arial" w:hAnsi="Arial" w:cs="Arial"/>
          <w:sz w:val="24"/>
          <w:szCs w:val="24"/>
          <w:shd w:val="clear" w:color="auto" w:fill="FFFFFF"/>
        </w:rPr>
        <w:t>é um</w:t>
      </w:r>
      <w:r w:rsidRPr="008766B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7" w:tooltip="Município" w:history="1">
        <w:r w:rsidRPr="008766B2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município</w:t>
        </w:r>
      </w:hyperlink>
      <w:r w:rsidRPr="008766B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8" w:tooltip="Brasil" w:history="1">
        <w:r w:rsidRPr="008766B2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brasileiro</w:t>
        </w:r>
      </w:hyperlink>
      <w:r w:rsidRPr="008766B2">
        <w:rPr>
          <w:rFonts w:ascii="Arial" w:hAnsi="Arial" w:cs="Arial"/>
          <w:sz w:val="24"/>
          <w:szCs w:val="24"/>
        </w:rPr>
        <w:t xml:space="preserve"> </w:t>
      </w:r>
      <w:r w:rsidRPr="008766B2">
        <w:rPr>
          <w:rFonts w:ascii="Arial" w:hAnsi="Arial" w:cs="Arial"/>
          <w:sz w:val="24"/>
          <w:szCs w:val="24"/>
          <w:shd w:val="clear" w:color="auto" w:fill="FFFFFF"/>
        </w:rPr>
        <w:t>pertencente à</w:t>
      </w:r>
      <w:r w:rsidRPr="008766B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9" w:tooltip="Mesorregião do Sertão Paraibano" w:history="1">
        <w:r w:rsidRPr="008766B2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Mesorregião do Sertão Paraibano</w:t>
        </w:r>
      </w:hyperlink>
      <w:r w:rsidRPr="008766B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,</w:t>
      </w:r>
      <w:r w:rsidRPr="008766B2">
        <w:rPr>
          <w:rFonts w:ascii="Arial" w:hAnsi="Arial" w:cs="Arial"/>
          <w:sz w:val="24"/>
          <w:szCs w:val="24"/>
          <w:shd w:val="clear" w:color="auto" w:fill="FFFFFF"/>
        </w:rPr>
        <w:t xml:space="preserve"> e sua população recenseada pelo</w:t>
      </w:r>
      <w:r w:rsidRPr="008766B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0" w:tooltip="Instituto Brasileiro de Geografia e Estatística" w:history="1">
        <w:r w:rsidRPr="008766B2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IBGE</w:t>
        </w:r>
      </w:hyperlink>
      <w:r w:rsidRPr="008766B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766B2">
        <w:rPr>
          <w:rFonts w:ascii="Arial" w:hAnsi="Arial" w:cs="Arial"/>
          <w:sz w:val="24"/>
          <w:szCs w:val="24"/>
          <w:shd w:val="clear" w:color="auto" w:fill="FFFFFF"/>
        </w:rPr>
        <w:t>em 2010 foi de</w:t>
      </w:r>
      <w:r w:rsidRPr="008766B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766B2">
        <w:rPr>
          <w:rFonts w:ascii="Arial" w:hAnsi="Arial" w:cs="Arial"/>
          <w:sz w:val="24"/>
          <w:szCs w:val="24"/>
          <w:shd w:val="clear" w:color="auto" w:fill="FFFFFF"/>
        </w:rPr>
        <w:t>58 437</w:t>
      </w:r>
      <w:r w:rsidRPr="008766B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766B2">
        <w:rPr>
          <w:rFonts w:ascii="Arial" w:hAnsi="Arial" w:cs="Arial"/>
          <w:sz w:val="24"/>
          <w:szCs w:val="24"/>
          <w:shd w:val="clear" w:color="auto" w:fill="FFFFFF"/>
        </w:rPr>
        <w:t>habitantes, sendo o</w:t>
      </w:r>
      <w:r w:rsidRPr="008766B2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1" w:anchor="Munic.C3.ADpios_mais_populosos" w:tooltip="Paraíba" w:history="1">
        <w:r w:rsidRPr="008766B2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oitavo mais populoso do estado</w:t>
        </w:r>
      </w:hyperlink>
      <w:r w:rsidRPr="008766B2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8766B2">
        <w:rPr>
          <w:rFonts w:ascii="Arial" w:hAnsi="Arial" w:cs="Arial"/>
          <w:sz w:val="24"/>
          <w:szCs w:val="24"/>
        </w:rPr>
        <w:t xml:space="preserve">A pesquisa foi desenvolvida a partir dos habitantes das quadras de cada bairro da cidade, sendo o período da pesquisa de setembro de 2011 a fevereiro de 2012.  Os critérios de inclusão foram residir em Cajazeiras, ter idade entre 18 e 70 anos, ambos os gêneros e qualquer etnia. O critério de exclusão definido foi gravidez. 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A seleção ocorreu de forma aleatória, onde os bairros e distritos de Cajazeiras foram selecionados por meio de sorteio e, a partir destes, definimos as quadras nas quais todas as residências e estabelecimentos pertencentes a esta seriam incluídas na pesquisa. A medida da pressão arterial somente era realizada com o entrevistado não tendo praticado exercícios físicos, nem ingerido bebidas alcoólicas, café, alimentos ou fumado nos últimos 30min.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O instrumento de pesquisa foi o esfigmomanômetro, estetoscópio, trena, balança e um questionário estruturado com FR para a HAS, contendo: faixa etária, gênero, raça, antecedentes familiar de HAS, o grau de estresse laboral, prática de atividades físicas, circunferência abdominal, dieta, uso de anticoncepcional, tabagismo, etilismo, DM, dislipidemia e IMC. Foram considerados hipertensos indivíduos com diagnóstico de HAS e em tratamento, como também aqueles que, durante as três visitas mostraram-se com níveis pressóricos elevados.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A PA foi obtida utilizando-se esfigmomanômetro portátil aneróide</w:t>
      </w:r>
      <w:r w:rsidR="00133BE1" w:rsidRPr="008766B2">
        <w:rPr>
          <w:rFonts w:ascii="Arial" w:hAnsi="Arial" w:cs="Arial"/>
          <w:sz w:val="24"/>
          <w:szCs w:val="24"/>
        </w:rPr>
        <w:t xml:space="preserve"> e manguito padrão para adultos</w:t>
      </w:r>
      <w:r w:rsidRPr="008766B2">
        <w:rPr>
          <w:rFonts w:ascii="Arial" w:hAnsi="Arial" w:cs="Arial"/>
          <w:sz w:val="24"/>
          <w:szCs w:val="24"/>
        </w:rPr>
        <w:t>. Foram realizadas três visitas consecutivas, com intervalo de dois meses, sendo a PA medida pelo mesmo observador e sob mesmas circunstancias, na qual a PA final foi considerada a média aritmética das duas últimas. Essas medidas foram corrigidas segundo perímetro do braço do individuo examinado, conforme proposto por Fuchs (2004).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 xml:space="preserve">Foram seguidas as recomendações da VI Diretriz Brasileira de hipertensão arterial, 2010, para a definição de hipertensão: os indivíduos foram classificados como hipertensos quando apresentaram pressão arterial sistólica (PAS) &gt; 140 mmHg e/ou pressão arterial diastólica (PAD) &gt; 90 mmHg e em estágios de gravidade conforme os seguintes pontos de corte: normal (PAS &lt; 130 mmHg e PAD &lt; 85mmHg),  pré-hipertensão/limítrofe (PAS  130-139 mmHg e PAD  85-89mmHg), hipertensão I (PAS </w:t>
      </w:r>
      <w:r w:rsidRPr="008766B2">
        <w:rPr>
          <w:rFonts w:ascii="Arial" w:hAnsi="Arial" w:cs="Arial"/>
          <w:sz w:val="24"/>
          <w:szCs w:val="24"/>
        </w:rPr>
        <w:lastRenderedPageBreak/>
        <w:t>140 – 159 mmHg e PAD 90 – 99 mmHg), hipertensão II (PAS 160-179 mmHg ou PAD 100-109 mmHg) e hipertensão III(PAS  ≥ 180 mmHg ou PAD ≥110 mmHg).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Foram coletados dados antropométricos de peso, altura, circunferência abdominal (CA). A CA foi obtida na menor curvatura localizada entre as costelas e a crista ilíaca com fita métrica flexível</w:t>
      </w:r>
      <w:r w:rsidR="00133BE1" w:rsidRPr="008766B2">
        <w:rPr>
          <w:rFonts w:ascii="Arial" w:hAnsi="Arial" w:cs="Arial"/>
          <w:sz w:val="24"/>
          <w:szCs w:val="24"/>
        </w:rPr>
        <w:t xml:space="preserve"> e inelástica</w:t>
      </w:r>
      <w:r w:rsidRPr="008766B2">
        <w:rPr>
          <w:rFonts w:ascii="Arial" w:hAnsi="Arial" w:cs="Arial"/>
          <w:sz w:val="24"/>
          <w:szCs w:val="24"/>
        </w:rPr>
        <w:t>. O peso foi obtido a partir de uma balança convencional e a altura através da soma da distancia púbis-vertice mais púbis-plantar. As aferições antropométricas foram executadas por um único observador e repetidas.  O detalhamento metodológico dos procedimentos antropométricos foram descritos por Lourenço et al (2008).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Foram considerados os seguintes pontos de corte para classificação do estado nutricional pelo IMC: IMC &lt; 18,5 - baixo peso, IMC de 18,5 a 24,9 - normal, IMC de 25,0 a 29,9 - sobrepeso e  IMC  ≥ 30 – obesidade (WHO, 1995). Foram considerados pontos de corte para risco cardiovascular os valores da circunferência abdominal (CA) ≥ 102 cm para o gênero masculino e de ≥ 88 cm, para o feminino (Lean e cols.).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Os dados foram analisados descritivamente segundo faixa etária e gênero, testando-se a diferenças nas médias de pressão arterial entre os gêneros, faixas etárias e FR associados por meio do teste t de Student. Os resultados foram submetidos tabulados no software Microsoft Office Excel em média e desvio-padrão. Posteriormente foram tratados com análise estatística pelo programa GraphPad InStat 3.0. Os testes do Qui-quadrado e o Exato de Fisher foram empregados na comparação de proporções, conforme o número de casos. Considerou-se um nível de significância de 5% (p &lt; 0,05).</w:t>
      </w:r>
    </w:p>
    <w:p w:rsidR="00D45C5E" w:rsidRDefault="002F7A3F" w:rsidP="008766B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66B2">
        <w:rPr>
          <w:rFonts w:ascii="Arial" w:hAnsi="Arial" w:cs="Arial"/>
          <w:b/>
          <w:sz w:val="24"/>
          <w:szCs w:val="24"/>
        </w:rPr>
        <w:t>Resultados</w:t>
      </w:r>
      <w:r w:rsidR="00D45C5E">
        <w:rPr>
          <w:rFonts w:ascii="Arial" w:hAnsi="Arial" w:cs="Arial"/>
          <w:b/>
          <w:sz w:val="24"/>
          <w:szCs w:val="24"/>
        </w:rPr>
        <w:t xml:space="preserve"> </w:t>
      </w:r>
    </w:p>
    <w:p w:rsidR="002F7A3F" w:rsidRPr="00D45C5E" w:rsidRDefault="002F7A3F" w:rsidP="008766B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 xml:space="preserve">O estudo contou com um total de 656 participantes (1,23% da população de Cajazeiras, PB), sendo 68,43% do gênero feminino, e a média de idade variando entre 18 e 70 (44,41 ± 9,12) anos. A prevalência global HAS na população foi de 33,84%, sendo 36,28% no gênero masculino e de 28,57% no gênero feminino. Nessa população, 8,38% eram hipertensos não diagnosticados, apresentando uma prevalência equivalente em ambos os gêneros.  Relativamente à população </w:t>
      </w:r>
      <w:r w:rsidRPr="008766B2">
        <w:rPr>
          <w:rFonts w:ascii="Arial" w:hAnsi="Arial" w:cs="Arial"/>
          <w:sz w:val="24"/>
          <w:szCs w:val="24"/>
        </w:rPr>
        <w:lastRenderedPageBreak/>
        <w:t>hipertensa, 63,06% eram do gênero feminino. Para ambos os gêneros a prevalência de HA aumentou com a idade (p=0,000)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A estratificação da população em estudo, de acordo com a VI diretriz de Hipertensão arterial, 2010, verificou-se que 54,27% possuía os níveis pressóricos normais; 11,89% apresentavam-se como pré-hipertensos, 28,66% classificavam-se em hipertensos estágio I, 4,57% em estágio II e 0,61% em estágio III. O número de participantes que tiveram a hipertensão sistólica isolada não se mostrou significativo. A figura 1 mostra o p</w:t>
      </w:r>
      <w:r w:rsidRPr="008766B2">
        <w:rPr>
          <w:rFonts w:ascii="Arial" w:eastAsia="MyriadPro-Cond" w:hAnsi="Arial" w:cs="Arial"/>
          <w:sz w:val="24"/>
          <w:szCs w:val="24"/>
        </w:rPr>
        <w:t xml:space="preserve">ercentual de </w:t>
      </w:r>
      <w:r w:rsidR="00133BE1" w:rsidRPr="008766B2">
        <w:rPr>
          <w:rFonts w:ascii="Arial" w:eastAsia="MyriadPro-Cond" w:hAnsi="Arial" w:cs="Arial"/>
          <w:sz w:val="24"/>
          <w:szCs w:val="24"/>
        </w:rPr>
        <w:t>indivíduos que referem diagnóstico mé</w:t>
      </w:r>
      <w:r w:rsidRPr="008766B2">
        <w:rPr>
          <w:rFonts w:ascii="Arial" w:eastAsia="MyriadPro-Cond" w:hAnsi="Arial" w:cs="Arial"/>
          <w:sz w:val="24"/>
          <w:szCs w:val="24"/>
        </w:rPr>
        <w:t xml:space="preserve">dico de </w:t>
      </w:r>
      <w:r w:rsidR="00133BE1" w:rsidRPr="008766B2">
        <w:rPr>
          <w:rFonts w:ascii="Arial" w:eastAsia="MyriadPro-Cond" w:hAnsi="Arial" w:cs="Arial"/>
          <w:sz w:val="24"/>
          <w:szCs w:val="24"/>
        </w:rPr>
        <w:t>hipertensão</w:t>
      </w:r>
      <w:r w:rsidRPr="008766B2">
        <w:rPr>
          <w:rFonts w:ascii="Arial" w:eastAsia="MyriadPro-Cond" w:hAnsi="Arial" w:cs="Arial"/>
          <w:sz w:val="24"/>
          <w:szCs w:val="24"/>
        </w:rPr>
        <w:t xml:space="preserve"> arterial </w:t>
      </w:r>
      <w:r w:rsidR="00133BE1" w:rsidRPr="008766B2">
        <w:rPr>
          <w:rFonts w:ascii="Arial" w:eastAsia="MyriadPro-Cond" w:hAnsi="Arial" w:cs="Arial"/>
          <w:sz w:val="24"/>
          <w:szCs w:val="24"/>
        </w:rPr>
        <w:t>n</w:t>
      </w:r>
      <w:r w:rsidRPr="008766B2">
        <w:rPr>
          <w:rFonts w:ascii="Arial" w:eastAsia="MyriadPro-Cond" w:hAnsi="Arial" w:cs="Arial"/>
          <w:sz w:val="24"/>
          <w:szCs w:val="24"/>
        </w:rPr>
        <w:t xml:space="preserve">as capitais dos estados brasileiros, por gênero, segundo idade. </w:t>
      </w:r>
      <w:r w:rsidRPr="008766B2">
        <w:rPr>
          <w:rFonts w:ascii="Arial" w:hAnsi="Arial" w:cs="Arial"/>
          <w:sz w:val="24"/>
          <w:szCs w:val="24"/>
        </w:rPr>
        <w:t xml:space="preserve">A figura 2 mostra a </w:t>
      </w:r>
      <w:r w:rsidR="001711BB" w:rsidRPr="008766B2">
        <w:rPr>
          <w:rFonts w:ascii="Arial" w:hAnsi="Arial" w:cs="Arial"/>
          <w:sz w:val="24"/>
          <w:szCs w:val="24"/>
        </w:rPr>
        <w:t xml:space="preserve">estratificação da população de Cajazeiras segundo os níveis pressóricos apresentados e a figura 3 correlaciona a PA e a faixa etária. </w:t>
      </w:r>
    </w:p>
    <w:p w:rsidR="00943240" w:rsidRPr="008766B2" w:rsidRDefault="00943240" w:rsidP="008766B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yriadPro-Cond" w:hAnsi="Arial" w:cs="Arial"/>
          <w:b/>
          <w:sz w:val="16"/>
          <w:szCs w:val="16"/>
        </w:rPr>
      </w:pPr>
      <w:r w:rsidRPr="008766B2">
        <w:rPr>
          <w:rFonts w:ascii="Arial" w:hAnsi="Arial" w:cs="Arial"/>
          <w:b/>
          <w:sz w:val="16"/>
          <w:szCs w:val="16"/>
        </w:rPr>
        <w:t xml:space="preserve">Figura </w:t>
      </w:r>
      <w:r w:rsidRPr="008766B2">
        <w:rPr>
          <w:rFonts w:ascii="Arial" w:hAnsi="Arial" w:cs="Arial"/>
          <w:b/>
          <w:sz w:val="16"/>
          <w:szCs w:val="16"/>
        </w:rPr>
        <w:fldChar w:fldCharType="begin"/>
      </w:r>
      <w:r w:rsidRPr="008766B2">
        <w:rPr>
          <w:rFonts w:ascii="Arial" w:hAnsi="Arial" w:cs="Arial"/>
          <w:b/>
          <w:sz w:val="16"/>
          <w:szCs w:val="16"/>
        </w:rPr>
        <w:instrText xml:space="preserve"> SEQ Figura \* ARABIC </w:instrText>
      </w:r>
      <w:r w:rsidRPr="008766B2">
        <w:rPr>
          <w:rFonts w:ascii="Arial" w:hAnsi="Arial" w:cs="Arial"/>
          <w:b/>
          <w:sz w:val="16"/>
          <w:szCs w:val="16"/>
        </w:rPr>
        <w:fldChar w:fldCharType="separate"/>
      </w:r>
      <w:r w:rsidRPr="008766B2">
        <w:rPr>
          <w:rFonts w:ascii="Arial" w:hAnsi="Arial" w:cs="Arial"/>
          <w:b/>
          <w:noProof/>
          <w:sz w:val="16"/>
          <w:szCs w:val="16"/>
        </w:rPr>
        <w:t>1</w:t>
      </w:r>
      <w:r w:rsidRPr="008766B2">
        <w:rPr>
          <w:rFonts w:ascii="Arial" w:hAnsi="Arial" w:cs="Arial"/>
          <w:b/>
          <w:sz w:val="16"/>
          <w:szCs w:val="16"/>
        </w:rPr>
        <w:fldChar w:fldCharType="end"/>
      </w:r>
      <w:r w:rsidRPr="008766B2">
        <w:rPr>
          <w:rFonts w:ascii="Arial" w:hAnsi="Arial" w:cs="Arial"/>
          <w:b/>
          <w:sz w:val="16"/>
          <w:szCs w:val="16"/>
        </w:rPr>
        <w:t xml:space="preserve">: </w:t>
      </w:r>
      <w:r w:rsidRPr="008766B2">
        <w:rPr>
          <w:rFonts w:ascii="Arial" w:eastAsia="MyriadPro-Cond" w:hAnsi="Arial" w:cs="Arial"/>
          <w:b/>
          <w:sz w:val="16"/>
          <w:szCs w:val="16"/>
        </w:rPr>
        <w:t>Percentual de indivíduos que referem diagnóstico médico de hipertensão arterial no conjunto da população adulta das capitais dos estados brasileiros e Distrito Federal, por gênero, segundo idade. VIGITEL, 2009</w:t>
      </w:r>
    </w:p>
    <w:p w:rsidR="00943240" w:rsidRPr="008766B2" w:rsidRDefault="00943240" w:rsidP="008766B2">
      <w:pPr>
        <w:pStyle w:val="Legenda"/>
        <w:spacing w:line="360" w:lineRule="auto"/>
        <w:rPr>
          <w:rFonts w:ascii="Arial" w:hAnsi="Arial" w:cs="Arial"/>
          <w:sz w:val="24"/>
          <w:szCs w:val="24"/>
        </w:rPr>
      </w:pPr>
    </w:p>
    <w:p w:rsidR="00943240" w:rsidRPr="008766B2" w:rsidRDefault="00943240" w:rsidP="008766B2">
      <w:pPr>
        <w:keepNext/>
        <w:spacing w:line="360" w:lineRule="auto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95725" cy="2047305"/>
            <wp:effectExtent l="19050" t="0" r="952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199" cy="2047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240" w:rsidRPr="008766B2" w:rsidRDefault="00943240" w:rsidP="008766B2">
      <w:pPr>
        <w:pStyle w:val="Legenda"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8766B2">
        <w:rPr>
          <w:rFonts w:ascii="Arial" w:hAnsi="Arial" w:cs="Arial"/>
          <w:color w:val="auto"/>
          <w:sz w:val="16"/>
          <w:szCs w:val="16"/>
        </w:rPr>
        <w:t xml:space="preserve">Figura 2: </w:t>
      </w:r>
      <w:r w:rsidRPr="008766B2">
        <w:rPr>
          <w:rFonts w:ascii="Arial" w:eastAsia="MyriadPro-Cond" w:hAnsi="Arial" w:cs="Arial"/>
          <w:color w:val="auto"/>
          <w:sz w:val="16"/>
          <w:szCs w:val="16"/>
        </w:rPr>
        <w:t>Estratificação da população de Cajazeiras segundo os níveis pressóricos</w:t>
      </w:r>
    </w:p>
    <w:p w:rsidR="00943240" w:rsidRPr="008766B2" w:rsidRDefault="00943240" w:rsidP="008766B2">
      <w:pPr>
        <w:keepNext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485640" cy="2228850"/>
            <wp:effectExtent l="19050" t="0" r="10160" b="0"/>
            <wp:docPr id="4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43240" w:rsidRPr="008766B2" w:rsidRDefault="00943240" w:rsidP="008766B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766B2">
        <w:rPr>
          <w:rFonts w:ascii="Arial" w:hAnsi="Arial" w:cs="Arial"/>
          <w:b/>
          <w:sz w:val="16"/>
          <w:szCs w:val="16"/>
        </w:rPr>
        <w:t xml:space="preserve">Figura 3: Distribuição dos níveis tensionais nas respectivas faixas etárias, em ambos os gêneros. </w:t>
      </w:r>
    </w:p>
    <w:p w:rsidR="00943240" w:rsidRPr="008766B2" w:rsidRDefault="00943240" w:rsidP="008766B2">
      <w:pPr>
        <w:keepNext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48325" cy="1685925"/>
            <wp:effectExtent l="19050" t="0" r="9525" b="0"/>
            <wp:docPr id="8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 xml:space="preserve">Do total de hipertensos, observou-se que 72,98% eram previamente diagnosticados e tomavam medicação para controle da pressão, enquanto que 27,02% são hipertensos não diagnosticados. Do grupo dos pacientes que já eram previamente diagnosticados como hipertensos e tomavam medicação, 46,91% tinham </w:t>
      </w:r>
      <w:r w:rsidR="001711BB" w:rsidRPr="008766B2">
        <w:rPr>
          <w:rFonts w:ascii="Arial" w:hAnsi="Arial" w:cs="Arial"/>
          <w:sz w:val="24"/>
          <w:szCs w:val="24"/>
        </w:rPr>
        <w:t>a PA controlada</w:t>
      </w:r>
      <w:r w:rsidRPr="008766B2">
        <w:rPr>
          <w:rFonts w:ascii="Arial" w:hAnsi="Arial" w:cs="Arial"/>
          <w:sz w:val="24"/>
          <w:szCs w:val="24"/>
        </w:rPr>
        <w:t>, sendo a maioria do gênero fem</w:t>
      </w:r>
      <w:r w:rsidR="001711BB" w:rsidRPr="008766B2">
        <w:rPr>
          <w:rFonts w:ascii="Arial" w:hAnsi="Arial" w:cs="Arial"/>
          <w:sz w:val="24"/>
          <w:szCs w:val="24"/>
        </w:rPr>
        <w:t>inino (</w:t>
      </w:r>
      <w:r w:rsidRPr="008766B2">
        <w:rPr>
          <w:rFonts w:ascii="Arial" w:hAnsi="Arial" w:cs="Arial"/>
          <w:sz w:val="24"/>
          <w:szCs w:val="24"/>
        </w:rPr>
        <w:t>67,91%</w:t>
      </w:r>
      <w:r w:rsidR="001711BB" w:rsidRPr="008766B2">
        <w:rPr>
          <w:rFonts w:ascii="Arial" w:hAnsi="Arial" w:cs="Arial"/>
          <w:sz w:val="24"/>
          <w:szCs w:val="24"/>
        </w:rPr>
        <w:t>)</w:t>
      </w:r>
      <w:r w:rsidRPr="008766B2">
        <w:rPr>
          <w:rFonts w:ascii="Arial" w:hAnsi="Arial" w:cs="Arial"/>
          <w:sz w:val="24"/>
          <w:szCs w:val="24"/>
        </w:rPr>
        <w:t xml:space="preserve">. As terapias medicamentosas mais utilizadas entre eles foram os Inibidores da Enzima Conversora de Angiotensina (IECA) associado a diuréticos, 22,92%, e em monoterapia, 18,75%. 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 xml:space="preserve">Mais de 90% dos entrevistados apresentaram pelo menos um fator de risco para HAS. Dentre os quais os principais fatores encontrados, como mostra na </w:t>
      </w:r>
      <w:r w:rsidR="001711BB" w:rsidRPr="008766B2">
        <w:rPr>
          <w:rFonts w:ascii="Arial" w:hAnsi="Arial" w:cs="Arial"/>
          <w:sz w:val="24"/>
          <w:szCs w:val="24"/>
        </w:rPr>
        <w:t>figura 4</w:t>
      </w:r>
      <w:r w:rsidRPr="008766B2">
        <w:rPr>
          <w:rFonts w:ascii="Arial" w:hAnsi="Arial" w:cs="Arial"/>
          <w:sz w:val="24"/>
          <w:szCs w:val="24"/>
        </w:rPr>
        <w:t xml:space="preserve">, foram: sedentarismo (69,6%), histórico familiar de HAS (58,4%), consumo exagerado de sal (53,7%), IMC- sobrepeso ou obesidade (52,5%), circunferência abdominal aumentada (41,9%), acima de 50 anos (37,4%), gênero masculino (31,57%), uso de anticoncepcional (33%), tabagismo (25,4%), padrão alimentar inadequado (23%), dislipidemia (16,5%), uso crônico de álcool (13,9%), raça negra </w:t>
      </w:r>
      <w:r w:rsidRPr="008766B2">
        <w:rPr>
          <w:rFonts w:ascii="Arial" w:hAnsi="Arial" w:cs="Arial"/>
          <w:sz w:val="24"/>
          <w:szCs w:val="24"/>
        </w:rPr>
        <w:lastRenderedPageBreak/>
        <w:t xml:space="preserve">(13,3%) e DM(10%). A figura </w:t>
      </w:r>
      <w:r w:rsidR="001711BB" w:rsidRPr="008766B2">
        <w:rPr>
          <w:rFonts w:ascii="Arial" w:hAnsi="Arial" w:cs="Arial"/>
          <w:sz w:val="24"/>
          <w:szCs w:val="24"/>
        </w:rPr>
        <w:t>5</w:t>
      </w:r>
      <w:r w:rsidRPr="008766B2">
        <w:rPr>
          <w:rFonts w:ascii="Arial" w:hAnsi="Arial" w:cs="Arial"/>
          <w:sz w:val="24"/>
          <w:szCs w:val="24"/>
        </w:rPr>
        <w:t xml:space="preserve"> associa os FR aos níveis tensionais apresentados pela população.</w:t>
      </w:r>
    </w:p>
    <w:p w:rsidR="00AE7D89" w:rsidRPr="008766B2" w:rsidRDefault="00AE7D89" w:rsidP="008766B2">
      <w:pPr>
        <w:pStyle w:val="Legenda"/>
        <w:spacing w:line="360" w:lineRule="auto"/>
        <w:jc w:val="both"/>
        <w:outlineLvl w:val="0"/>
        <w:rPr>
          <w:rFonts w:ascii="Arial" w:hAnsi="Arial" w:cs="Arial"/>
          <w:color w:val="auto"/>
          <w:sz w:val="16"/>
          <w:szCs w:val="16"/>
        </w:rPr>
      </w:pPr>
      <w:r w:rsidRPr="008766B2">
        <w:rPr>
          <w:rFonts w:ascii="Arial" w:hAnsi="Arial" w:cs="Arial"/>
          <w:color w:val="auto"/>
          <w:sz w:val="16"/>
          <w:szCs w:val="16"/>
        </w:rPr>
        <w:t>Figura 4: Prevalência dos fatores de risco cardiovasculares encontrados na população</w:t>
      </w:r>
    </w:p>
    <w:p w:rsidR="00AE7D89" w:rsidRPr="008766B2" w:rsidRDefault="00AE7D89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040" cy="2200275"/>
            <wp:effectExtent l="19050" t="0" r="10160" b="0"/>
            <wp:docPr id="9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E7D89" w:rsidRPr="008766B2" w:rsidRDefault="00AE7D89" w:rsidP="008766B2">
      <w:pPr>
        <w:pStyle w:val="Legenda"/>
        <w:keepNext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8766B2">
        <w:rPr>
          <w:rFonts w:ascii="Arial" w:hAnsi="Arial" w:cs="Arial"/>
          <w:color w:val="auto"/>
          <w:sz w:val="24"/>
          <w:szCs w:val="24"/>
        </w:rPr>
        <w:t>Figura 5: Correlação entre os fatores de risco e os níveis tensionais apresentados pela população.</w:t>
      </w:r>
    </w:p>
    <w:p w:rsidR="00AE7D89" w:rsidRPr="008766B2" w:rsidRDefault="00AE7D89" w:rsidP="008766B2">
      <w:pPr>
        <w:keepNext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040" cy="2124075"/>
            <wp:effectExtent l="19050" t="0" r="10160" b="0"/>
            <wp:docPr id="10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711BB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Considerando a faixa etária, um fator de risco não modificável, observou-se que entre 18-29, 30-39, 40-49, 50,59, 60-70 anos, a HAS</w:t>
      </w:r>
      <w:r w:rsidR="001711BB" w:rsidRPr="008766B2">
        <w:rPr>
          <w:rFonts w:ascii="Arial" w:hAnsi="Arial" w:cs="Arial"/>
          <w:sz w:val="24"/>
          <w:szCs w:val="24"/>
        </w:rPr>
        <w:t xml:space="preserve"> </w:t>
      </w:r>
      <w:r w:rsidRPr="008766B2">
        <w:rPr>
          <w:rFonts w:ascii="Arial" w:hAnsi="Arial" w:cs="Arial"/>
          <w:sz w:val="24"/>
          <w:szCs w:val="24"/>
        </w:rPr>
        <w:t xml:space="preserve">foi encontrada em consonância com esses intervalos etários na seguinte prevalência: 1,67%, 1,95%, 9,21%, 8,65% e 9,53%, respectivamente. Dentre eles, a taxa de hipertensos diagnosticados na mesma sequência supracitada foi de 8,22%, 14%, 42,86%, 46,97%, 54,84%, respectivamente. Já de acordo com a hipertensão não diagnosticada, observaram-se 5,48%, 10%, 11,69%, 7,57% e 11,29%, respectivamente.  </w:t>
      </w:r>
      <w:r w:rsidR="001711BB" w:rsidRPr="008766B2">
        <w:rPr>
          <w:rFonts w:ascii="Arial" w:hAnsi="Arial" w:cs="Arial"/>
          <w:sz w:val="24"/>
          <w:szCs w:val="24"/>
        </w:rPr>
        <w:t>A tabela 1 estratifica a população de acordo com os níveis pressóricos e a faixa etária.</w:t>
      </w:r>
    </w:p>
    <w:p w:rsidR="00943240" w:rsidRPr="008766B2" w:rsidRDefault="00943240" w:rsidP="008766B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8766B2">
        <w:rPr>
          <w:rFonts w:ascii="Arial" w:hAnsi="Arial" w:cs="Arial"/>
          <w:b/>
          <w:sz w:val="16"/>
          <w:szCs w:val="16"/>
        </w:rPr>
        <w:t>Tabela 1: Estratificação da população de acordo com a faixa etária e os níveis pressóricos encontrados.</w:t>
      </w:r>
    </w:p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1020"/>
        <w:gridCol w:w="1356"/>
        <w:gridCol w:w="993"/>
        <w:gridCol w:w="968"/>
        <w:gridCol w:w="1158"/>
        <w:gridCol w:w="1093"/>
        <w:gridCol w:w="1317"/>
        <w:gridCol w:w="992"/>
      </w:tblGrid>
      <w:tr w:rsidR="00943240" w:rsidRPr="008766B2" w:rsidTr="00DF1028">
        <w:trPr>
          <w:trHeight w:val="565"/>
        </w:trPr>
        <w:tc>
          <w:tcPr>
            <w:tcW w:w="1020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lastRenderedPageBreak/>
              <w:t>Faixa etária</w:t>
            </w:r>
          </w:p>
        </w:tc>
        <w:tc>
          <w:tcPr>
            <w:tcW w:w="1356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normotenso</w:t>
            </w:r>
          </w:p>
        </w:tc>
        <w:tc>
          <w:tcPr>
            <w:tcW w:w="993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limítrofe</w:t>
            </w:r>
          </w:p>
        </w:tc>
        <w:tc>
          <w:tcPr>
            <w:tcW w:w="968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Estágio I</w:t>
            </w:r>
          </w:p>
        </w:tc>
        <w:tc>
          <w:tcPr>
            <w:tcW w:w="1158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Estágio II</w:t>
            </w:r>
          </w:p>
        </w:tc>
        <w:tc>
          <w:tcPr>
            <w:tcW w:w="1093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Estágio III</w:t>
            </w:r>
          </w:p>
        </w:tc>
        <w:tc>
          <w:tcPr>
            <w:tcW w:w="131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Não diagnosticados</w:t>
            </w:r>
          </w:p>
        </w:tc>
        <w:tc>
          <w:tcPr>
            <w:tcW w:w="99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Valor de ρ</w:t>
            </w:r>
          </w:p>
        </w:tc>
      </w:tr>
      <w:tr w:rsidR="00943240" w:rsidRPr="008766B2" w:rsidTr="00DF1028">
        <w:trPr>
          <w:trHeight w:val="267"/>
        </w:trPr>
        <w:tc>
          <w:tcPr>
            <w:tcW w:w="1020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18-29</w:t>
            </w:r>
          </w:p>
        </w:tc>
        <w:tc>
          <w:tcPr>
            <w:tcW w:w="1356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17,59%</w:t>
            </w:r>
          </w:p>
        </w:tc>
        <w:tc>
          <w:tcPr>
            <w:tcW w:w="993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1,11%</w:t>
            </w:r>
          </w:p>
        </w:tc>
        <w:tc>
          <w:tcPr>
            <w:tcW w:w="968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1,67%</w:t>
            </w:r>
          </w:p>
        </w:tc>
        <w:tc>
          <w:tcPr>
            <w:tcW w:w="1158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 xml:space="preserve">        -  </w:t>
            </w:r>
          </w:p>
        </w:tc>
        <w:tc>
          <w:tcPr>
            <w:tcW w:w="1093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 xml:space="preserve">         -</w:t>
            </w:r>
          </w:p>
        </w:tc>
        <w:tc>
          <w:tcPr>
            <w:tcW w:w="131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1,11%</w:t>
            </w:r>
          </w:p>
        </w:tc>
        <w:tc>
          <w:tcPr>
            <w:tcW w:w="99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NS*</w:t>
            </w:r>
          </w:p>
        </w:tc>
      </w:tr>
      <w:tr w:rsidR="00943240" w:rsidRPr="008766B2" w:rsidTr="00DF1028">
        <w:trPr>
          <w:trHeight w:val="283"/>
        </w:trPr>
        <w:tc>
          <w:tcPr>
            <w:tcW w:w="1020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30-39</w:t>
            </w:r>
          </w:p>
        </w:tc>
        <w:tc>
          <w:tcPr>
            <w:tcW w:w="1356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10,61%</w:t>
            </w:r>
          </w:p>
        </w:tc>
        <w:tc>
          <w:tcPr>
            <w:tcW w:w="993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1,39%</w:t>
            </w:r>
          </w:p>
        </w:tc>
        <w:tc>
          <w:tcPr>
            <w:tcW w:w="968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1,95%</w:t>
            </w:r>
          </w:p>
        </w:tc>
        <w:tc>
          <w:tcPr>
            <w:tcW w:w="1158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093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 xml:space="preserve">         -</w:t>
            </w:r>
          </w:p>
        </w:tc>
        <w:tc>
          <w:tcPr>
            <w:tcW w:w="131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1,39%</w:t>
            </w:r>
          </w:p>
        </w:tc>
        <w:tc>
          <w:tcPr>
            <w:tcW w:w="99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943240" w:rsidRPr="008766B2" w:rsidTr="00DF1028">
        <w:trPr>
          <w:trHeight w:val="267"/>
        </w:trPr>
        <w:tc>
          <w:tcPr>
            <w:tcW w:w="1020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40-49</w:t>
            </w:r>
          </w:p>
        </w:tc>
        <w:tc>
          <w:tcPr>
            <w:tcW w:w="1356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8,37%</w:t>
            </w:r>
          </w:p>
        </w:tc>
        <w:tc>
          <w:tcPr>
            <w:tcW w:w="993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3,91%</w:t>
            </w:r>
          </w:p>
        </w:tc>
        <w:tc>
          <w:tcPr>
            <w:tcW w:w="968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7,26%</w:t>
            </w:r>
          </w:p>
        </w:tc>
        <w:tc>
          <w:tcPr>
            <w:tcW w:w="1158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1,95%</w:t>
            </w:r>
          </w:p>
        </w:tc>
        <w:tc>
          <w:tcPr>
            <w:tcW w:w="1093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 xml:space="preserve">         -</w:t>
            </w:r>
          </w:p>
        </w:tc>
        <w:tc>
          <w:tcPr>
            <w:tcW w:w="131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2,51%</w:t>
            </w:r>
          </w:p>
        </w:tc>
        <w:tc>
          <w:tcPr>
            <w:tcW w:w="99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943240" w:rsidRPr="008766B2" w:rsidTr="00DF1028">
        <w:trPr>
          <w:trHeight w:val="283"/>
        </w:trPr>
        <w:tc>
          <w:tcPr>
            <w:tcW w:w="1020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50-59</w:t>
            </w:r>
          </w:p>
        </w:tc>
        <w:tc>
          <w:tcPr>
            <w:tcW w:w="1356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7,54%</w:t>
            </w:r>
          </w:p>
        </w:tc>
        <w:tc>
          <w:tcPr>
            <w:tcW w:w="993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2,24%</w:t>
            </w:r>
          </w:p>
        </w:tc>
        <w:tc>
          <w:tcPr>
            <w:tcW w:w="968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7,26%</w:t>
            </w:r>
          </w:p>
        </w:tc>
        <w:tc>
          <w:tcPr>
            <w:tcW w:w="1158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0,83%</w:t>
            </w:r>
          </w:p>
        </w:tc>
        <w:tc>
          <w:tcPr>
            <w:tcW w:w="1093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0,56%</w:t>
            </w:r>
          </w:p>
        </w:tc>
        <w:tc>
          <w:tcPr>
            <w:tcW w:w="131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1,39%</w:t>
            </w:r>
          </w:p>
        </w:tc>
        <w:tc>
          <w:tcPr>
            <w:tcW w:w="99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943240" w:rsidRPr="008766B2" w:rsidTr="00DF1028">
        <w:trPr>
          <w:trHeight w:val="283"/>
        </w:trPr>
        <w:tc>
          <w:tcPr>
            <w:tcW w:w="1020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1356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5,61%</w:t>
            </w:r>
          </w:p>
        </w:tc>
        <w:tc>
          <w:tcPr>
            <w:tcW w:w="993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2,24%</w:t>
            </w:r>
          </w:p>
        </w:tc>
        <w:tc>
          <w:tcPr>
            <w:tcW w:w="968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8,11%</w:t>
            </w:r>
          </w:p>
        </w:tc>
        <w:tc>
          <w:tcPr>
            <w:tcW w:w="1158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1,42%</w:t>
            </w:r>
          </w:p>
        </w:tc>
        <w:tc>
          <w:tcPr>
            <w:tcW w:w="1093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 xml:space="preserve">         -</w:t>
            </w:r>
          </w:p>
        </w:tc>
        <w:tc>
          <w:tcPr>
            <w:tcW w:w="131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1,98%</w:t>
            </w:r>
          </w:p>
        </w:tc>
        <w:tc>
          <w:tcPr>
            <w:tcW w:w="99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</w:tbl>
    <w:p w:rsidR="00943240" w:rsidRPr="008766B2" w:rsidRDefault="00943240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As variáveis étnicas demostraram que a prevalência da HAS nos indivíduos de acordo com a raça foi de 8,23%, 14,86%, 1,9% nos brancos, pardos e negros, respectivamente. Se considerarmos apenas a população hipertensa, obtemos que 32,93% eram brancos, 59,46% pardos e 7,61% negros. A prevalência da HAS na população de acordo com os antecedentes familiares de HAS foi de 17,17% nos que apresentavam histórico familiar e 7,54% naqueles que negaram</w:t>
      </w:r>
      <w:r w:rsidR="001711BB" w:rsidRPr="008766B2">
        <w:rPr>
          <w:rFonts w:ascii="Arial" w:hAnsi="Arial" w:cs="Arial"/>
          <w:sz w:val="24"/>
          <w:szCs w:val="24"/>
        </w:rPr>
        <w:t>.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 xml:space="preserve">Quanto ao julgamento subjetivo relacionado ao estresse laboral ao qual o próprio indivíduo é submetido, a prevalência de HAS foi de 5,12% na população que julgava o estresse médio ou alto e de 19,58% naqueles que não julgavam seu trabalho com nível de estresse relevante. Observando a população hipertensa, apenas 32,09% julgavam seu trabalho com um nível de estresse significativo. Já de acordo com a atividade física, a prevalência da HAS foi verificada em 18,98% dos sedentários e em 5,72% daqueles que praticavam atividade física regular. Porém verificou-se que 76,84% da população hipertensa eram sedentários.  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De acordo com a circunferência abdominal, 10,54% tinham a circunferência normal e apresentavam HAS, enquanto que 14,16% da população tinham a circunferência aumentada e eram hipertensos. Da população hipertensa, 57,33% tinham uma circunferência abdominal aumentada. Em relação ao IMC, a associação com HAS</w:t>
      </w:r>
      <w:r w:rsidR="001711BB" w:rsidRPr="008766B2">
        <w:rPr>
          <w:rFonts w:ascii="Arial" w:hAnsi="Arial" w:cs="Arial"/>
          <w:sz w:val="24"/>
          <w:szCs w:val="24"/>
        </w:rPr>
        <w:t xml:space="preserve"> </w:t>
      </w:r>
      <w:r w:rsidRPr="008766B2">
        <w:rPr>
          <w:rFonts w:ascii="Arial" w:hAnsi="Arial" w:cs="Arial"/>
          <w:sz w:val="24"/>
          <w:szCs w:val="24"/>
        </w:rPr>
        <w:t>nos que possuíam o IMC entre 18,5 e 24,9, entre 25 e 29,9 e acima de 30 foi de 8,73%, 9,94% e 6,02%, respectivamente. Se considerarmos a população hipertensa, esses números equivalem a 35,34% tinha a o IMC normal, 40,24% sobrepeso e 24,42% eram obesos.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 xml:space="preserve">Considerando a dieta dos entrevistados, 12,05% afirmaram uma dieta equilibrada, com frutas, legumes e verduras frequentemente consumidas e apresentavam-se hipertensos. Enquanto que 12,65% dos participantes afirmaram uma alimentação rica em sal e apresentaram-se hipertensos. Tal variável não se mostrou significativa, </w:t>
      </w:r>
      <w:r w:rsidRPr="008766B2">
        <w:rPr>
          <w:rFonts w:ascii="Arial" w:hAnsi="Arial" w:cs="Arial"/>
          <w:sz w:val="24"/>
          <w:szCs w:val="24"/>
        </w:rPr>
        <w:lastRenderedPageBreak/>
        <w:t>visto que 51,22% dos hipertensos tinham uma alimentação rica em sal. Quanto ao tabagismo, 8,13% dos participantes eram tabagistas e hipertensos e 16,57% não tabagistas e hipertensos. Apenas 32,91% dos hipertensos afirmaram ser tabagistas. Os entrevistados que faziam uso superior a 30 ml de etanol por dia e eram hipertensos apresentaram prevalência de 4,52%. Os que não bebiam ou bebiam menos que 30 ml de etanol por dia e eram hipertensos apresentaram prevalência de 20,18%. 18,30% dos hipertensos eram etilistas. De acordo com o uso de anticoncepcional oral, foi verificada a associação com a HAS em 1,72% das participantes que afirmaram seu uso contínuo e em 21,88% daquelas que não o usa. 6,96% da população hipertensa faziam uso continuo de anticoncepcional oral.</w:t>
      </w:r>
    </w:p>
    <w:p w:rsidR="00022E9E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 xml:space="preserve">Se considerarmos os fatores metabólicos, como o DM e dislipidemias, encontramos as seguintes prevalências: apenas </w:t>
      </w:r>
      <w:r w:rsidRPr="008766B2">
        <w:rPr>
          <w:rFonts w:ascii="Arial" w:eastAsia="Times New Roman" w:hAnsi="Arial" w:cs="Arial"/>
          <w:sz w:val="24"/>
          <w:szCs w:val="24"/>
        </w:rPr>
        <w:t>22,16%</w:t>
      </w:r>
      <w:r w:rsidRPr="008766B2">
        <w:rPr>
          <w:rFonts w:ascii="Arial" w:hAnsi="Arial" w:cs="Arial"/>
          <w:sz w:val="24"/>
          <w:szCs w:val="24"/>
        </w:rPr>
        <w:t xml:space="preserve"> dos hipertensos afirmaram ser previamente diabéticos e 32,52% apresentarem alguma dislipidemia associada. A consonância entre HAS e DM e dislipidemia na população total em estudo mostrou a seguinte prevalência: 5,58% e 5,96%, respectivamente. Esses dados podem ter sido prejudicados pela falta de conhecimento da população para com essas variáveis, que na maioria dos casos desconheciam se apresentavam ou não alguma anormalidade metabólica. </w:t>
      </w:r>
    </w:p>
    <w:p w:rsidR="001711BB" w:rsidRPr="008766B2" w:rsidRDefault="001711BB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Essa correlação encontra-se resumida  na tabela 2.</w:t>
      </w:r>
    </w:p>
    <w:p w:rsidR="00943240" w:rsidRPr="008766B2" w:rsidRDefault="00943240" w:rsidP="008766B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8766B2">
        <w:rPr>
          <w:rFonts w:ascii="Arial" w:hAnsi="Arial" w:cs="Arial"/>
          <w:b/>
          <w:sz w:val="16"/>
          <w:szCs w:val="16"/>
        </w:rPr>
        <w:t>Tabela 2: Estratificação da população de acordo com os fatores de risco encontrados na população.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57"/>
        <w:gridCol w:w="1504"/>
        <w:gridCol w:w="1202"/>
        <w:gridCol w:w="1401"/>
        <w:gridCol w:w="1544"/>
        <w:gridCol w:w="1205"/>
      </w:tblGrid>
      <w:tr w:rsidR="00943240" w:rsidRPr="008766B2" w:rsidTr="00DF1028"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Normotensos</w:t>
            </w: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Limítrofe</w:t>
            </w: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Hipertensos</w:t>
            </w: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Não diagnosticados</w:t>
            </w: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Valor de ρ</w:t>
            </w:r>
          </w:p>
        </w:tc>
      </w:tr>
      <w:tr w:rsidR="00943240" w:rsidRPr="008766B2" w:rsidTr="00DF1028"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Raça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3240" w:rsidRPr="008766B2" w:rsidTr="00DF1028">
        <w:trPr>
          <w:trHeight w:val="60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Branco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16,59%</w:t>
            </w: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3,05%</w:t>
            </w: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8,23%</w:t>
            </w: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2,5%</w:t>
            </w: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943240" w:rsidRPr="008766B2" w:rsidTr="00DF1028">
        <w:trPr>
          <w:trHeight w:val="61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Pardo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30,22%</w:t>
            </w: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7,86%</w:t>
            </w: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14,86%</w:t>
            </w: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5,82%</w:t>
            </w: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943240" w:rsidRPr="008766B2" w:rsidTr="00DF1028">
        <w:trPr>
          <w:trHeight w:val="61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Negro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6,98%</w:t>
            </w: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0,09%</w:t>
            </w: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1,9%</w:t>
            </w: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1,9%</w:t>
            </w: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Antecedentes HAS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31,92%</w:t>
            </w: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7,84%</w:t>
            </w: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17,17%</w:t>
            </w: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7,54%</w:t>
            </w: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21,68%</w:t>
            </w: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3,91%</w:t>
            </w: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7,54%</w:t>
            </w: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2,4%</w:t>
            </w: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Estresse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 xml:space="preserve">Não </w:t>
            </w: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Não julga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37,65%</w:t>
            </w: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8,73%</w:t>
            </w: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19,58%</w:t>
            </w: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6,04%</w:t>
            </w: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Julga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15,96%</w:t>
            </w: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3,01%</w:t>
            </w: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5,12%</w:t>
            </w: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3,91%</w:t>
            </w: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Ativ. física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Sedentário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47,97%</w:t>
            </w: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9,03%</w:t>
            </w: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18,98%</w:t>
            </w: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8,75%</w:t>
            </w: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 xml:space="preserve">Ativo 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9,64%</w:t>
            </w: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2,71%</w:t>
            </w: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5,72%</w:t>
            </w: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1,2%</w:t>
            </w: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CA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Normal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33,73%</w:t>
            </w: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5,12%</w:t>
            </w: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10,54%</w:t>
            </w: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4,82%</w:t>
            </w: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lastRenderedPageBreak/>
              <w:t>aumentada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19,88%</w:t>
            </w: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6,63%</w:t>
            </w: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14,16%</w:t>
            </w: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5,12%</w:t>
            </w: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 xml:space="preserve">Dieta 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Equilibrada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22,59%</w:t>
            </w: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4,82%</w:t>
            </w: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12,05%</w:t>
            </w: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4,82%</w:t>
            </w: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salina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31,02%</w:t>
            </w: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6,93%</w:t>
            </w: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12,65%</w:t>
            </w: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5,12%</w:t>
            </w: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Tabagismo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Tabagista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13,85%</w:t>
            </w: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2,41%</w:t>
            </w: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8,13%</w:t>
            </w: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3,01%</w:t>
            </w: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Não tabagista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39,76%</w:t>
            </w: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9,34%</w:t>
            </w: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16,57%</w:t>
            </w: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6,93%</w:t>
            </w: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Etilismo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Mais de uma vez por semana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9,64%</w:t>
            </w: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1,81%</w:t>
            </w: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4,52%</w:t>
            </w: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3,01%</w:t>
            </w: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Eventualmente/ não etilista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43,97%</w:t>
            </w: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9,94%</w:t>
            </w: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20,18%</w:t>
            </w: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6,93%</w:t>
            </w: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Anticoncepcional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12,87%</w:t>
            </w: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0,86%</w:t>
            </w: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1,72%</w:t>
            </w: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0,86%</w:t>
            </w: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Não usa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45,06%</w:t>
            </w: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9,88%</w:t>
            </w: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21,88%</w:t>
            </w: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6,87%</w:t>
            </w: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IMC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Normal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33,44%</w:t>
            </w: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5,12%</w:t>
            </w: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8,73%</w:t>
            </w: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5,12%</w:t>
            </w: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Sobrepeso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15,37%</w:t>
            </w: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4,21%</w:t>
            </w: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9,94%</w:t>
            </w: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3,01%</w:t>
            </w: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943240" w:rsidRPr="008766B2" w:rsidTr="00DF1028">
        <w:trPr>
          <w:trHeight w:val="273"/>
        </w:trPr>
        <w:tc>
          <w:tcPr>
            <w:tcW w:w="1757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obesidade</w:t>
            </w:r>
          </w:p>
        </w:tc>
        <w:tc>
          <w:tcPr>
            <w:tcW w:w="150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4,82%</w:t>
            </w:r>
          </w:p>
        </w:tc>
        <w:tc>
          <w:tcPr>
            <w:tcW w:w="1202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2,41%</w:t>
            </w:r>
          </w:p>
        </w:tc>
        <w:tc>
          <w:tcPr>
            <w:tcW w:w="1401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6,02%</w:t>
            </w:r>
          </w:p>
        </w:tc>
        <w:tc>
          <w:tcPr>
            <w:tcW w:w="1544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1,81%</w:t>
            </w:r>
          </w:p>
        </w:tc>
        <w:tc>
          <w:tcPr>
            <w:tcW w:w="1205" w:type="dxa"/>
          </w:tcPr>
          <w:p w:rsidR="00943240" w:rsidRPr="008766B2" w:rsidRDefault="00943240" w:rsidP="008766B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6B2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</w:tbl>
    <w:p w:rsidR="00943240" w:rsidRPr="008766B2" w:rsidRDefault="00943240" w:rsidP="008766B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766B2">
        <w:rPr>
          <w:rFonts w:ascii="Arial" w:hAnsi="Arial" w:cs="Arial"/>
          <w:sz w:val="16"/>
          <w:szCs w:val="16"/>
        </w:rPr>
        <w:t>*NS = Não significativa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b/>
          <w:sz w:val="24"/>
          <w:szCs w:val="24"/>
        </w:rPr>
        <w:t>Discussão</w:t>
      </w:r>
    </w:p>
    <w:p w:rsidR="002F7A3F" w:rsidRPr="008766B2" w:rsidRDefault="002F7A3F" w:rsidP="008766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Estudos de prevalência de base populacional da HAS no Brasil ainda estão restritos às regiões Sul e Sudeste do país. Em 2009 a Secretaria de Vigilância em Saúde detectou as seguintes prevalências de hipertensão: 24,4% na população adulta de 18 anos e mais, chegando a 63,2% na população maior de 65 anos. O estudo realizado no município de Cajazeiras, PB, descreve uma realidade presente em todas as cidades brasileiras, em maior ou menor grau. A prevalência da HAS de 33,84% não é assustadora, pois estudos realizados em outros municípios brasileiros revelaram taxas superiores a 30% na maioria dos casos¹</w:t>
      </w:r>
      <w:r w:rsidRPr="008766B2">
        <w:rPr>
          <w:rFonts w:ascii="Arial" w:cs="Arial"/>
          <w:sz w:val="24"/>
          <w:szCs w:val="24"/>
        </w:rPr>
        <w:t>⁵</w:t>
      </w:r>
      <w:r w:rsidRPr="008766B2">
        <w:rPr>
          <w:rFonts w:ascii="Arial" w:hAnsi="Arial" w:cs="Arial"/>
          <w:sz w:val="24"/>
          <w:szCs w:val="24"/>
        </w:rPr>
        <w:t xml:space="preserve">. </w:t>
      </w:r>
    </w:p>
    <w:p w:rsidR="002F7A3F" w:rsidRPr="008766B2" w:rsidRDefault="002F7A3F" w:rsidP="008766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7A3F" w:rsidRPr="008766B2" w:rsidRDefault="002F7A3F" w:rsidP="008766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 xml:space="preserve"> A prevalência foi no gênero feminino (63,06%) em relação ao gênero masculino (36,94%) no presente estudo, embora essa percentagem se deva a uma maior amostra da população feminina na pesquisa, o que deve ser considerado. No entanto, no que tange a prevalência da hipertensão no gênero, 36,28% dos homens eram hipertensos, enquanto que 28,57% das mulheres eram hipertensas. A prevalência global de HAS entre homens e mulheres é semelhante, embora seja mais elevada nos homens até 50 anos, invertendo-se a partir da quinta década. Existem poucos relatos na literatura abordando as taxas de hipertensos não </w:t>
      </w:r>
      <w:r w:rsidRPr="008766B2">
        <w:rPr>
          <w:rFonts w:ascii="Arial" w:hAnsi="Arial" w:cs="Arial"/>
          <w:sz w:val="24"/>
          <w:szCs w:val="24"/>
        </w:rPr>
        <w:lastRenderedPageBreak/>
        <w:t>diagnosticados na população. No presente estudo, essa prevalência se deu na taxa de 8,38% da população, ou seja, 27,02% dos hipertensos da amostra.</w:t>
      </w:r>
    </w:p>
    <w:p w:rsidR="002F7A3F" w:rsidRPr="008766B2" w:rsidRDefault="002F7A3F" w:rsidP="008766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Estudos demonstram que existe relação direta e linear da PA com a idade, sendo a prevalência de HAS superior a 60% acima de 65 anos¹¹.  No presente estudo essa estatística se confirma, pois 54,83% dos participantes entre</w:t>
      </w:r>
      <w:r w:rsidRPr="008766B2">
        <w:rPr>
          <w:rFonts w:ascii="Arial" w:hAnsi="Arial" w:cs="Arial"/>
          <w:color w:val="FF0000"/>
          <w:sz w:val="24"/>
          <w:szCs w:val="24"/>
        </w:rPr>
        <w:t xml:space="preserve"> </w:t>
      </w:r>
      <w:r w:rsidRPr="008766B2">
        <w:rPr>
          <w:rFonts w:ascii="Arial" w:hAnsi="Arial" w:cs="Arial"/>
          <w:sz w:val="24"/>
          <w:szCs w:val="24"/>
        </w:rPr>
        <w:t>60 e 70 anos eram hipertensos, sendo nenhum em estágio III e dos hipertensos, nessa faixa etária, 20,78% não eram diagnosticados.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Um dado interessante é a taxa de hipertensos não diagnosticados em cada faixa etária. Dos hipertensos entre 18-29, 30-39, 40-49, 50-59, observou-se uma prevalência de 66,47%, 71,28%, 27,25%, 16,07%, respectivamente.  Por se tratar de uma doença que atinge preferencialmente idades avançadas, a HAS acaba sendo marginalizada pelos grupos mais jovens. No entanto, a constante mudança no estilo de vida, a maior prevalência do sedentarismo, da alimentação desregrada, do aumento do sobrepeso e obesidade, do uso de álcool e de cigarro, acarretam mudanças que podem culminar com a elevação dos níveis pressóricos nesse grupo.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O inadequado controle terapêutico da hipertensão merece um enfoque especial por se tratar de atitudes que não cabem somente ao profissional de saúde, mas principalmente à aceitação do paciente em modificar o estilo de vida e fazer os ajustes da medicação para que a terapêutica se torne efetiva¹³¯¹</w:t>
      </w:r>
      <w:r w:rsidRPr="008766B2">
        <w:rPr>
          <w:rFonts w:ascii="Arial" w:cs="Arial"/>
          <w:sz w:val="24"/>
          <w:szCs w:val="24"/>
        </w:rPr>
        <w:t>⁵</w:t>
      </w:r>
      <w:r w:rsidRPr="008766B2">
        <w:rPr>
          <w:rFonts w:ascii="Arial" w:hAnsi="Arial" w:cs="Arial"/>
          <w:sz w:val="24"/>
          <w:szCs w:val="24"/>
        </w:rPr>
        <w:t>. Apenas 46,91% dos hipertensos tinham a PA em níveis considerados normais, sendo no gênero feminino encontrado a maior taxa de controle, 67,91%. Outros estudos de bases populacionais mostraram que, apesar de 77% dos hipertensos estarem cientes de sua condição, apenas 27,6% estavam sob controle²</w:t>
      </w:r>
      <w:r w:rsidRPr="008766B2">
        <w:rPr>
          <w:rFonts w:ascii="Arial" w:cs="Arial"/>
          <w:sz w:val="24"/>
          <w:szCs w:val="24"/>
        </w:rPr>
        <w:t>⁰</w:t>
      </w:r>
      <w:r w:rsidRPr="008766B2">
        <w:rPr>
          <w:rFonts w:ascii="Arial" w:hAnsi="Arial" w:cs="Arial"/>
          <w:sz w:val="24"/>
          <w:szCs w:val="24"/>
        </w:rPr>
        <w:t xml:space="preserve">. 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Por ser na maior parte do seu curso assintomática, seu diagnóstico e tratamento é frequentemente negligenciado, somando-se a isso a baixa adesão, por parte do paciente, ao tratamento prescrito e, principalmente, às mudanças no estilo de vida que são cruciais para sucesso terapêutico. Verificou-se, também, que mesmo com terapia medicamentosa e mudança de estilo de vida adequados, alguns entrevistados não tiveram níveis pressóricos satisfatórios¹</w:t>
      </w:r>
      <w:r w:rsidRPr="008766B2">
        <w:rPr>
          <w:rFonts w:ascii="Arial" w:cs="Arial"/>
          <w:sz w:val="24"/>
          <w:szCs w:val="24"/>
        </w:rPr>
        <w:t>⁶</w:t>
      </w:r>
      <w:r w:rsidRPr="008766B2">
        <w:rPr>
          <w:rFonts w:ascii="Arial" w:hAnsi="Arial" w:cs="Arial"/>
          <w:sz w:val="24"/>
          <w:szCs w:val="24"/>
        </w:rPr>
        <w:t xml:space="preserve">. Tal inadequação foi devida também às dificuldades econômicas que alguns grupos de hipertensos </w:t>
      </w:r>
      <w:r w:rsidRPr="008766B2">
        <w:rPr>
          <w:rFonts w:ascii="Arial" w:hAnsi="Arial" w:cs="Arial"/>
          <w:sz w:val="24"/>
          <w:szCs w:val="24"/>
        </w:rPr>
        <w:lastRenderedPageBreak/>
        <w:t xml:space="preserve">apresentam para adquirir medicamentos que efetivamente controlem o quadro hipertensivo. 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A contribuição de fatores genéticos para a gênese da HAS está bem estabelecida na população¹. Neste trabalho, houve elevado índice de significância, que vem demonstrar a importância do interrogatório ao se fazer o histórico familiar de hipertensão, para o qual os profissionais de saúde devem sempre atentar. Foi verificado que 69,48% dos hipertensos apresentavam antecedentes familiares de HAS.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Apesar de o estresse ter ganhado espaço atualmente, sendo apontado com importante FR para HAS, IRIGOYEN (2003) afirma que é difícil estabelecer um papel mais definido ao estresse na gênese da HAS, visto que este, analisado de forma isolada, não demonstra tanta associação à níveis pressóricos elevados, mas sim por este fator estar ligado à outros, dentre eles o sedentarismo, a dieta e hábitos sociais. Fora observado que </w:t>
      </w:r>
      <w:r w:rsidRPr="008766B2">
        <w:rPr>
          <w:rFonts w:ascii="Arial" w:hAnsi="Arial" w:cs="Arial"/>
          <w:sz w:val="24"/>
          <w:szCs w:val="24"/>
        </w:rPr>
        <w:t>67,91% dos participantes hipertensos não julgavam seu trabalho com um nível de estresse significativo.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color w:val="000000"/>
          <w:sz w:val="24"/>
          <w:szCs w:val="24"/>
          <w:shd w:val="clear" w:color="auto" w:fill="FFFFFF"/>
        </w:rPr>
        <w:t>Atividade física reduz a incidência de HAS, mesmo em indivíduos pré-hipertensos, bem como a mortalidade</w:t>
      </w:r>
      <w:r w:rsidRPr="008766B2">
        <w:rPr>
          <w:rFonts w:ascii="Arial" w:cs="Arial"/>
          <w:color w:val="000000"/>
          <w:sz w:val="24"/>
          <w:szCs w:val="24"/>
          <w:shd w:val="clear" w:color="auto" w:fill="FFFFFF"/>
        </w:rPr>
        <w:t>⁹</w:t>
      </w:r>
      <w:r w:rsidRPr="008766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o risco de </w:t>
      </w:r>
      <w:r w:rsidRPr="008766B2">
        <w:rPr>
          <w:rFonts w:ascii="Arial" w:hAnsi="Arial" w:cs="Arial"/>
          <w:sz w:val="24"/>
          <w:szCs w:val="24"/>
          <w:shd w:val="clear" w:color="auto" w:fill="FFFFFF"/>
        </w:rPr>
        <w:t>DCV.</w:t>
      </w:r>
      <w:r w:rsidRPr="008766B2">
        <w:rPr>
          <w:rFonts w:ascii="Arial" w:hAnsi="Arial" w:cs="Arial"/>
          <w:sz w:val="24"/>
          <w:szCs w:val="24"/>
        </w:rPr>
        <w:t xml:space="preserve"> </w:t>
      </w:r>
      <w:r w:rsidRPr="008766B2">
        <w:rPr>
          <w:rFonts w:ascii="Arial" w:hAnsi="Arial" w:cs="Arial"/>
          <w:sz w:val="24"/>
          <w:szCs w:val="24"/>
          <w:shd w:val="clear" w:color="auto" w:fill="FFFFFF"/>
        </w:rPr>
        <w:t>Indivíduos sedentários apresentam risco aproximado 30% maior de desenvolver hipertensão que os ativos¹²¯¹</w:t>
      </w:r>
      <w:r w:rsidRPr="008766B2">
        <w:rPr>
          <w:rFonts w:cs="Arial"/>
          <w:sz w:val="24"/>
          <w:szCs w:val="24"/>
          <w:shd w:val="clear" w:color="auto" w:fill="FFFFFF"/>
        </w:rPr>
        <w:t>⁴</w:t>
      </w:r>
      <w:r w:rsidRPr="008766B2">
        <w:rPr>
          <w:rFonts w:ascii="Arial" w:hAnsi="Arial" w:cs="Arial"/>
          <w:color w:val="000000"/>
          <w:sz w:val="24"/>
          <w:szCs w:val="24"/>
          <w:shd w:val="clear" w:color="auto" w:fill="FFFFFF"/>
        </w:rPr>
        <w:t>. Este estudo demonstra que o sedentarismo também constitui importante fator de risco, apresentando-se como o mais prevalente na população analisada (</w:t>
      </w:r>
      <w:r w:rsidRPr="008766B2">
        <w:rPr>
          <w:rFonts w:ascii="Arial" w:hAnsi="Arial" w:cs="Arial"/>
          <w:sz w:val="24"/>
          <w:szCs w:val="24"/>
        </w:rPr>
        <w:t>69,6%)</w:t>
      </w:r>
      <w:r w:rsidRPr="008766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Do grupo dos hipertensos, </w:t>
      </w:r>
      <w:r w:rsidRPr="008766B2">
        <w:rPr>
          <w:rFonts w:ascii="Arial" w:hAnsi="Arial" w:cs="Arial"/>
          <w:sz w:val="24"/>
          <w:szCs w:val="24"/>
        </w:rPr>
        <w:t>76,84% não praticavam atividade física regular. Além do mais, 87,94% dos indivíduos que são hipertensos não diagnosticados, são sedentários.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color w:val="000000"/>
          <w:sz w:val="24"/>
          <w:szCs w:val="24"/>
          <w:shd w:val="clear" w:color="auto" w:fill="FFFFFF"/>
        </w:rPr>
        <w:t>Vários estudos têm registrado que a circunferência abdominal (CA) ou da cintura (CC), são indicadores de distribuição da gordura corporal, estão associadas à ocorrência de doenças metabólicas e cardiovasculares, dentre estas a hipertensão arterial¹</w:t>
      </w:r>
      <w:r w:rsidRPr="008766B2">
        <w:rPr>
          <w:rFonts w:ascii="Arial" w:cs="Arial"/>
          <w:color w:val="000000"/>
          <w:sz w:val="24"/>
          <w:szCs w:val="24"/>
          <w:shd w:val="clear" w:color="auto" w:fill="FFFFFF"/>
        </w:rPr>
        <w:t>⁰⁻</w:t>
      </w:r>
      <w:r w:rsidRPr="008766B2">
        <w:rPr>
          <w:rFonts w:ascii="Arial" w:hAnsi="Arial" w:cs="Arial"/>
          <w:color w:val="000000"/>
          <w:sz w:val="24"/>
          <w:szCs w:val="24"/>
          <w:shd w:val="clear" w:color="auto" w:fill="FFFFFF"/>
        </w:rPr>
        <w:t>¹². Na vida adulta, mesmo entre indivíduos fisicamente ativos, incremento de 2,4 kg/m</w:t>
      </w:r>
      <w:r w:rsidRPr="008766B2">
        <w:rPr>
          <w:rFonts w:ascii="Arial" w:hAnsi="Arial" w:cs="Arial"/>
          <w:sz w:val="24"/>
          <w:szCs w:val="24"/>
          <w:shd w:val="clear" w:color="auto" w:fill="FFFFFF"/>
        </w:rPr>
        <w:t>²</w:t>
      </w:r>
      <w:r w:rsidRPr="008766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índice de massa corporal (IMC) acarreta maior risco de desenvolver hipertensão¹</w:t>
      </w:r>
      <w:r w:rsidRPr="008766B2">
        <w:rPr>
          <w:rFonts w:ascii="Arial" w:cs="Arial"/>
          <w:color w:val="000000"/>
          <w:sz w:val="24"/>
          <w:szCs w:val="24"/>
          <w:shd w:val="clear" w:color="auto" w:fill="FFFFFF"/>
        </w:rPr>
        <w:t>⁵</w:t>
      </w:r>
      <w:r w:rsidRPr="008766B2">
        <w:rPr>
          <w:rFonts w:ascii="Arial" w:hAnsi="Arial" w:cs="Arial"/>
          <w:color w:val="000000"/>
          <w:sz w:val="24"/>
          <w:szCs w:val="24"/>
          <w:shd w:val="clear" w:color="auto" w:fill="FFFFFF"/>
        </w:rPr>
        <w:t>¯¹</w:t>
      </w:r>
      <w:r w:rsidRPr="008766B2">
        <w:rPr>
          <w:rFonts w:ascii="Arial" w:cs="Arial"/>
          <w:color w:val="000000"/>
          <w:sz w:val="24"/>
          <w:szCs w:val="24"/>
          <w:shd w:val="clear" w:color="auto" w:fill="FFFFFF"/>
        </w:rPr>
        <w:t>⁷</w:t>
      </w:r>
      <w:r w:rsidRPr="008766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No presente estudo as frequências de sobrepeso e obesidade foram bastante elevadas, correspondendo a </w:t>
      </w:r>
      <w:r w:rsidRPr="008766B2">
        <w:rPr>
          <w:rFonts w:ascii="Arial" w:hAnsi="Arial" w:cs="Arial"/>
          <w:sz w:val="24"/>
          <w:szCs w:val="24"/>
        </w:rPr>
        <w:t xml:space="preserve">52,5% da população apresentada. Quando se correlacionou a hipertensão, foi verificado que 35,34% dos hipertensos tinham o IMC normal, 40,24% apresentavam sobrepeso e 24,42%, obesidade. Já </w:t>
      </w:r>
      <w:r w:rsidRPr="008766B2">
        <w:rPr>
          <w:rFonts w:ascii="Arial" w:hAnsi="Arial" w:cs="Arial"/>
          <w:sz w:val="24"/>
          <w:szCs w:val="24"/>
        </w:rPr>
        <w:lastRenderedPageBreak/>
        <w:t xml:space="preserve">com relação à circunferência abdominal, 57,33% tinham-na em proporções aumentada. 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Estudos apontam pouca ou nenhuma relação a ingesta de sal e hipertensão, observado isoladamente. No entanto, afirma-se que a ingestão de sal é fortemente influenciada pelo nível socioeconômico e pode, parcialmente, explicar a alta prevalência de HAS nas classes socioeconômicas mais baixas¹</w:t>
      </w:r>
      <w:r w:rsidRPr="008766B2">
        <w:rPr>
          <w:rFonts w:ascii="Arial" w:cs="Arial"/>
          <w:sz w:val="24"/>
          <w:szCs w:val="24"/>
        </w:rPr>
        <w:t>⁵</w:t>
      </w:r>
      <w:r w:rsidRPr="008766B2">
        <w:rPr>
          <w:rFonts w:ascii="Arial" w:hAnsi="Arial" w:cs="Arial"/>
          <w:sz w:val="24"/>
          <w:szCs w:val="24"/>
        </w:rPr>
        <w:t>¯¹</w:t>
      </w:r>
      <w:r w:rsidRPr="008766B2">
        <w:rPr>
          <w:rFonts w:ascii="Arial" w:cs="Arial"/>
          <w:sz w:val="24"/>
          <w:szCs w:val="24"/>
        </w:rPr>
        <w:t>⁸</w:t>
      </w:r>
      <w:r w:rsidRPr="008766B2">
        <w:rPr>
          <w:rFonts w:ascii="Arial" w:hAnsi="Arial" w:cs="Arial"/>
          <w:sz w:val="24"/>
          <w:szCs w:val="24"/>
        </w:rPr>
        <w:t xml:space="preserve">. Quanto à relação de ingestão salina, o trabalho não encontrou significativa diferença entre os que afirmavam ter uma alimentação rica em sal, como carnes com alto teor salino ou que sempre levavam o saleiro à mesa e àqueles que afirmaram uma alimentação mais equilibrada, com frutas, verduras e legumes frequentemente consumidos e pouca ingesta de alimentos com alto teor salino. 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 xml:space="preserve">Vários estudos epidemiológicos demonstram que os níveis de </w:t>
      </w:r>
      <w:r w:rsidR="00A10A42" w:rsidRPr="008766B2">
        <w:rPr>
          <w:rFonts w:ascii="Arial" w:hAnsi="Arial" w:cs="Arial"/>
          <w:sz w:val="24"/>
          <w:szCs w:val="24"/>
        </w:rPr>
        <w:t>PA</w:t>
      </w:r>
      <w:r w:rsidRPr="008766B2">
        <w:rPr>
          <w:rFonts w:ascii="Arial" w:hAnsi="Arial" w:cs="Arial"/>
          <w:sz w:val="24"/>
          <w:szCs w:val="24"/>
        </w:rPr>
        <w:t xml:space="preserve"> entre os tabagistas são idênticos aos dos não tabagistas e o abandono do fumo não parece contribuir para baixar apreciavelmente a pressão arterial. O consumo regular de bebidas alcoólicas eleva a pressão arterial à taxa de 1 mmHg por cada 10 g de etanol, aproximadamente, e o risco de hipertensão atribuível ao álcool é cerca de 16%¹</w:t>
      </w:r>
      <w:r w:rsidRPr="008766B2">
        <w:rPr>
          <w:rFonts w:ascii="Arial" w:cs="Arial"/>
          <w:sz w:val="24"/>
          <w:szCs w:val="24"/>
        </w:rPr>
        <w:t>⁹</w:t>
      </w:r>
      <w:r w:rsidRPr="008766B2">
        <w:rPr>
          <w:rFonts w:ascii="Arial" w:hAnsi="Arial" w:cs="Arial"/>
          <w:sz w:val="24"/>
          <w:szCs w:val="24"/>
        </w:rPr>
        <w:t xml:space="preserve">. Neste trabalho, 32,91% dos hipertensos eram tabagistas e 18,30% afirmaram consumir mais de 30 ml/dia de etanol. Esse levantamento pode estar prejudicado também por erros técnicos de mensurar a quantidade de álcool ingerida e pela resposta subjetiva de cada participante referente à sua condição de tabagista e consumidor de etanol. 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A relação entre o uso de anticoncepcionais orais e a HAS é conhecida há anos. Essa modalidade de HAS constitui uma das principais causas de hipertensão secundária na mulher. A correlação de HAS</w:t>
      </w:r>
      <w:r w:rsidR="00A10A42" w:rsidRPr="008766B2">
        <w:rPr>
          <w:rFonts w:ascii="Arial" w:hAnsi="Arial" w:cs="Arial"/>
          <w:sz w:val="24"/>
          <w:szCs w:val="24"/>
        </w:rPr>
        <w:t xml:space="preserve"> </w:t>
      </w:r>
      <w:r w:rsidRPr="008766B2">
        <w:rPr>
          <w:rFonts w:ascii="Arial" w:hAnsi="Arial" w:cs="Arial"/>
          <w:sz w:val="24"/>
          <w:szCs w:val="24"/>
        </w:rPr>
        <w:t>e uso de anticoncepcional fora irrelevante nesse estudo, quando analisada individualmente. A relação de maior significância foi encontrada na mulheres já previamente diagnosticadas como hipertensas e que usavam anticoncepcionais, equivalendo a 35,45% da amostra.</w:t>
      </w:r>
    </w:p>
    <w:p w:rsidR="002F7A3F" w:rsidRPr="008766B2" w:rsidRDefault="001711BB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 xml:space="preserve">Este </w:t>
      </w:r>
      <w:r w:rsidR="002F7A3F" w:rsidRPr="008766B2">
        <w:rPr>
          <w:rFonts w:ascii="Arial" w:hAnsi="Arial" w:cs="Arial"/>
          <w:sz w:val="24"/>
          <w:szCs w:val="24"/>
        </w:rPr>
        <w:t xml:space="preserve"> estudo mostrou que a prevalência da população que possuía tanto HAS quanto DM auto-referida foi de 5,58%. Já considerando a dislipidemia auto-referida, essa taxa equivale a 5,96%. O diagnóstico do diabetes requer exame de sangue como a glicemia de jejum ou, preferencialmente, teste de tolerância à glicose, o que </w:t>
      </w:r>
      <w:r w:rsidR="002F7A3F" w:rsidRPr="008766B2">
        <w:rPr>
          <w:rFonts w:ascii="Arial" w:hAnsi="Arial" w:cs="Arial"/>
          <w:sz w:val="24"/>
          <w:szCs w:val="24"/>
        </w:rPr>
        <w:lastRenderedPageBreak/>
        <w:t xml:space="preserve">diﬁculta sua realização em inquéritos. Assim, dados de prevalência de diabetes no Brasil são menos frequentes que os de hipertensão. 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66B2">
        <w:rPr>
          <w:rFonts w:ascii="Arial" w:hAnsi="Arial" w:cs="Arial"/>
          <w:b/>
          <w:sz w:val="24"/>
          <w:szCs w:val="24"/>
        </w:rPr>
        <w:t>Conclusões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 xml:space="preserve">Diante do exposto, pode-se identificar a alta prevalência da HAS não diagnosticada na população estudada (8,38%), assim como no grupo dos hipertensos (27,02%), principalmente no que corresponde aos adultos jovens, que como fora demonstrado, são o grupo que apresentam maior taxa de hipertensos não diagnosticados. A prevalência da HAS em sentido global é maior que a descrita na literatura (33,84%). </w:t>
      </w:r>
    </w:p>
    <w:p w:rsidR="002F7A3F" w:rsidRPr="008766B2" w:rsidRDefault="002F7A3F" w:rsidP="008766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12125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 xml:space="preserve">Deve-se atentar ao adequado controle dos hipertensos no que se refere à mudanças no estilo de vida, através de ações efetivas no âmbito da atenção primária, as quais devem ser uma prioridade dos sistemas de saúde, a fim de se reduzir a prevalência desta doença, visto que seus valores não controlados acarretam inúmeros prejuízos, como insuficiência cardíaca, predisposição a acidentes vasculares encefálicos, insuficiência  renal, cardiomiopatias, dentre outras. </w:t>
      </w:r>
      <w:r w:rsidRPr="008766B2">
        <w:rPr>
          <w:rFonts w:ascii="Arial" w:hAnsi="Arial" w:cs="Arial"/>
          <w:color w:val="212125"/>
          <w:sz w:val="24"/>
          <w:szCs w:val="24"/>
        </w:rPr>
        <w:t xml:space="preserve">A alta prevalência e aglomeração de FR para DCV entre hipertensos reforça a necessidade não só de aprimoramento do diagnóstico e tratamento da hipertensão, como também da abordagem integral do perfil de risco dessa população. 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 xml:space="preserve">Constatou-se a alta prevalência dos FR modificáveis na população, como sedentarismo, consumo exagerado de sal, sobrepeso/obesidade e circunferência abdominal aumentada, cujo controle, também a partir das equipes de saúde da família, que agem como facilitadoras da realização do inquérito, assim como algumas das potencialidades da Estratégia Saúde da Família na vigilância dos FR, a fim de preveni-los e alertar a população sobre os mesmos. </w:t>
      </w:r>
    </w:p>
    <w:p w:rsidR="002F7A3F" w:rsidRPr="008766B2" w:rsidRDefault="002F7A3F" w:rsidP="008766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>Os resultados encontrados permitem concluir que o risco de desenvolver a HA está aumentado em indivíduos do gênero masculino, com mais idade, sedentários, maior índice de massa corporal e circunferência da cintura, com histórico familiar de HAS. No entanto, esse estudo não pode concluir a respeito da associação dos outros hábitos de vida, como tabagismo, etilismo e uso de anticoncepcional, analisados de forma isolada, com a presença de hipertensão arterial.</w:t>
      </w:r>
    </w:p>
    <w:p w:rsidR="00B114CE" w:rsidRDefault="002F7A3F" w:rsidP="008766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 xml:space="preserve">Para controle e prevenção desse quadro, são importantes os cuidados na atenção primária, secundária e terciária com garantia ao diagnóstico, tratamento e </w:t>
      </w:r>
      <w:r w:rsidRPr="008766B2">
        <w:rPr>
          <w:rFonts w:ascii="Arial" w:hAnsi="Arial" w:cs="Arial"/>
          <w:sz w:val="24"/>
          <w:szCs w:val="24"/>
        </w:rPr>
        <w:lastRenderedPageBreak/>
        <w:t>acompanhamento com profissionais capacitados, a fim de reduzir a mobimortalidade, além da redução dos custos para o sistema de saúde e a sociedade.  Propõem-se que os programas de controle da HAS dêem prioridade e instruam melhor a população sobre os motivos que podem dificultar a adesão ao tratamento anti-hipertensivo, colocando em risco o adequado controle pressórico e aumentando a morbimortalidade cardiovascular¹.</w:t>
      </w:r>
    </w:p>
    <w:p w:rsidR="00B114CE" w:rsidRPr="008766B2" w:rsidRDefault="00B114CE" w:rsidP="008766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7A3F" w:rsidRPr="008766B2" w:rsidRDefault="002F7A3F" w:rsidP="008766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12125"/>
          <w:sz w:val="24"/>
          <w:szCs w:val="24"/>
        </w:rPr>
      </w:pPr>
      <w:r w:rsidRPr="008766B2">
        <w:rPr>
          <w:rFonts w:ascii="Arial" w:hAnsi="Arial" w:cs="Arial"/>
          <w:sz w:val="24"/>
          <w:szCs w:val="24"/>
        </w:rPr>
        <w:t xml:space="preserve">Pesquisas de prevalência da hipertensão devem priorizar áreas do país onde a informação ainda não é disponível e enfocar, globalmente, a prevalência de todos os FR para doenças cardiovasculares. </w:t>
      </w:r>
      <w:r w:rsidRPr="008766B2">
        <w:rPr>
          <w:rFonts w:ascii="Arial" w:hAnsi="Arial" w:cs="Arial"/>
          <w:color w:val="212125"/>
          <w:sz w:val="24"/>
          <w:szCs w:val="24"/>
        </w:rPr>
        <w:t>Exames de pressão arterial são cada vez mais acessíveis à população nos grandes centros urbanos, pelo Sistema Único de Saúde (SUS), sugerindo a possibilidade da realização de estudos de morbidade referida. No entanto, ainda é uma realidade distante nos pequenos centros urbanos, o que se torna um empecilho para o controle e ideal diagnóstico dessa doença.</w:t>
      </w:r>
    </w:p>
    <w:p w:rsidR="002F7A3F" w:rsidRPr="008766B2" w:rsidRDefault="002F7A3F" w:rsidP="008766B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12125"/>
          <w:sz w:val="24"/>
          <w:szCs w:val="24"/>
        </w:rPr>
      </w:pPr>
    </w:p>
    <w:p w:rsidR="002F7A3F" w:rsidRPr="008766B2" w:rsidRDefault="002F7A3F" w:rsidP="008766B2">
      <w:pPr>
        <w:jc w:val="both"/>
        <w:rPr>
          <w:rFonts w:ascii="Arial" w:hAnsi="Arial" w:cs="Arial"/>
          <w:b/>
          <w:sz w:val="24"/>
          <w:szCs w:val="24"/>
        </w:rPr>
      </w:pPr>
      <w:r w:rsidRPr="008766B2">
        <w:rPr>
          <w:rFonts w:ascii="Arial" w:hAnsi="Arial" w:cs="Arial"/>
          <w:b/>
          <w:sz w:val="24"/>
          <w:szCs w:val="24"/>
        </w:rPr>
        <w:t>Referências</w:t>
      </w:r>
    </w:p>
    <w:p w:rsidR="002D7F86" w:rsidRPr="00160812" w:rsidRDefault="002D7F86" w:rsidP="002D7F86">
      <w:pPr>
        <w:jc w:val="both"/>
        <w:rPr>
          <w:rFonts w:ascii="Arial" w:hAnsi="Arial" w:cs="Arial"/>
        </w:rPr>
      </w:pPr>
      <w:r w:rsidRPr="00FC75B6">
        <w:rPr>
          <w:rFonts w:ascii="Arial" w:hAnsi="Arial" w:cs="Arial"/>
          <w:lang w:val="en-US"/>
        </w:rPr>
        <w:t xml:space="preserve">1. Almeida FF, Barreto SM, Couto BR, Starling CE. </w:t>
      </w:r>
      <w:r w:rsidRPr="00160812">
        <w:rPr>
          <w:rFonts w:ascii="Arial" w:hAnsi="Arial" w:cs="Arial"/>
          <w:lang w:val="en-US"/>
        </w:rPr>
        <w:t xml:space="preserve">Predictive factors of in-hospital mortality and of severe perioperative complications in myocardial revascularization surgery. </w:t>
      </w:r>
      <w:r w:rsidRPr="00160812">
        <w:rPr>
          <w:rFonts w:ascii="Arial" w:hAnsi="Arial" w:cs="Arial"/>
        </w:rPr>
        <w:t>Arquivo Brasileiro de Cardiologia 2003;80(1):41-60.</w:t>
      </w:r>
    </w:p>
    <w:p w:rsidR="002D7F86" w:rsidRPr="00FC75B6" w:rsidRDefault="002D7F86" w:rsidP="002D7F86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160812">
        <w:rPr>
          <w:rFonts w:ascii="Arial" w:hAnsi="Arial" w:cs="Arial"/>
          <w:color w:val="000000"/>
          <w:sz w:val="22"/>
          <w:szCs w:val="22"/>
        </w:rPr>
        <w:t xml:space="preserve">2. Brandão AA, Pozzan R, Freitas EV, Pozzan R, Magalhães MEC, Brandão AP. </w:t>
      </w:r>
      <w:r w:rsidRPr="00160812">
        <w:rPr>
          <w:rFonts w:ascii="Arial" w:hAnsi="Arial" w:cs="Arial"/>
          <w:color w:val="000000"/>
          <w:sz w:val="22"/>
          <w:szCs w:val="22"/>
          <w:lang w:val="en-US"/>
        </w:rPr>
        <w:t xml:space="preserve">Blood pressure and overweight in adolescence and their association with insulin resist ance and metabolic syndrome. </w:t>
      </w:r>
      <w:r w:rsidRPr="00FC75B6">
        <w:rPr>
          <w:rFonts w:ascii="Arial" w:hAnsi="Arial" w:cs="Arial"/>
          <w:color w:val="000000"/>
          <w:sz w:val="22"/>
          <w:szCs w:val="22"/>
          <w:lang w:val="en-US"/>
        </w:rPr>
        <w:t>J Hypertens 2004; 22(Suppl 1):111S.</w:t>
      </w:r>
    </w:p>
    <w:p w:rsidR="002D7F86" w:rsidRPr="00FC75B6" w:rsidRDefault="002D7F86" w:rsidP="002D7F86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60812">
        <w:rPr>
          <w:rFonts w:ascii="Arial" w:hAnsi="Arial" w:cs="Arial"/>
          <w:sz w:val="22"/>
          <w:szCs w:val="22"/>
        </w:rPr>
        <w:t>3. Braunwald E. Tratado de Medicina Cardiovascular. 9ª ed. São Paulo: Roca, 2011.</w:t>
      </w:r>
    </w:p>
    <w:p w:rsidR="002D7F86" w:rsidRPr="00160812" w:rsidRDefault="002D7F86" w:rsidP="002D7F86">
      <w:pPr>
        <w:jc w:val="both"/>
        <w:rPr>
          <w:rFonts w:ascii="Arial" w:hAnsi="Arial" w:cs="Arial"/>
          <w:color w:val="000000"/>
        </w:rPr>
      </w:pPr>
      <w:r w:rsidRPr="00160812">
        <w:rPr>
          <w:rFonts w:ascii="Arial" w:hAnsi="Arial" w:cs="Arial"/>
          <w:color w:val="000000"/>
        </w:rPr>
        <w:t>4. Carnelosso MLC. Iniciativa Carment: resultados e tendências das prevalências dos fatores de risco cardiovasculares [tese]. Goiânia (GO): Programa Multiinstitucional de Pós-Graduação em Ciên</w:t>
      </w:r>
      <w:r w:rsidRPr="00160812">
        <w:rPr>
          <w:rFonts w:ascii="Arial" w:hAnsi="Arial" w:cs="Arial"/>
          <w:color w:val="000000"/>
        </w:rPr>
        <w:softHyphen/>
        <w:t>cias da Saúde, Convênio Centro Oeste / UNB / UFG / UFMS; 2008.</w:t>
      </w:r>
    </w:p>
    <w:p w:rsidR="002D7F86" w:rsidRPr="00D814BD" w:rsidRDefault="002D7F86" w:rsidP="002D7F86">
      <w:pPr>
        <w:jc w:val="both"/>
        <w:rPr>
          <w:rFonts w:ascii="Arial" w:hAnsi="Arial" w:cs="Arial"/>
          <w:lang w:val="en-US"/>
        </w:rPr>
      </w:pPr>
      <w:r w:rsidRPr="00160812">
        <w:rPr>
          <w:rFonts w:ascii="Arial" w:hAnsi="Arial" w:cs="Arial"/>
        </w:rPr>
        <w:t xml:space="preserve">5. Cesarino CB, Cipullo JP, Martin JFV, Ciorlia LA, Godoy MRP, Cordeiro JA, Rodrigues IC. Prevalência e fatores sociodemográficos em hipertensos de São José do Rio Preto. </w:t>
      </w:r>
      <w:r w:rsidRPr="00D814BD">
        <w:rPr>
          <w:rFonts w:ascii="Arial" w:hAnsi="Arial" w:cs="Arial"/>
          <w:lang w:val="en-US"/>
        </w:rPr>
        <w:t>Arq Bras Card 2008; 91(1): 31–35.</w:t>
      </w:r>
    </w:p>
    <w:p w:rsidR="002D7F86" w:rsidRPr="00D814BD" w:rsidRDefault="002D7F86" w:rsidP="002D7F86">
      <w:pPr>
        <w:jc w:val="both"/>
        <w:rPr>
          <w:rFonts w:ascii="Arial" w:hAnsi="Arial" w:cs="Arial"/>
        </w:rPr>
      </w:pPr>
      <w:r w:rsidRPr="00160812">
        <w:rPr>
          <w:rFonts w:ascii="Arial" w:hAnsi="Arial" w:cs="Arial"/>
          <w:lang w:val="en-US"/>
        </w:rPr>
        <w:t xml:space="preserve">6. Collins GS, Altman DG. An independent external validation and evaluation of QRISK cardiovascular risk prediction: a prospective open cohort study. </w:t>
      </w:r>
      <w:r w:rsidRPr="00D814BD">
        <w:rPr>
          <w:rFonts w:ascii="Arial" w:hAnsi="Arial" w:cs="Arial"/>
        </w:rPr>
        <w:t xml:space="preserve">BMJ 2009;339:b2584. </w:t>
      </w:r>
    </w:p>
    <w:p w:rsidR="002D7F86" w:rsidRPr="00160812" w:rsidRDefault="002D7F86" w:rsidP="002D7F86">
      <w:pPr>
        <w:jc w:val="both"/>
        <w:rPr>
          <w:rFonts w:ascii="Arial" w:hAnsi="Arial" w:cs="Arial"/>
        </w:rPr>
      </w:pPr>
      <w:r w:rsidRPr="00160812">
        <w:rPr>
          <w:rFonts w:ascii="Arial" w:hAnsi="Arial" w:cs="Arial"/>
        </w:rPr>
        <w:t xml:space="preserve">7. Freitas OC, Carvalho FR, Neves JM, Veludo PK, Parreira RS, Gonçalves RM, et al. </w:t>
      </w:r>
      <w:r w:rsidRPr="00160812">
        <w:rPr>
          <w:rFonts w:ascii="Arial" w:hAnsi="Arial" w:cs="Arial"/>
          <w:lang w:val="en-US"/>
        </w:rPr>
        <w:t xml:space="preserve">Prevalence of hypertension in the urban population of Catanduva, in the State of São Paulo, Brazil. </w:t>
      </w:r>
      <w:r w:rsidRPr="00160812">
        <w:rPr>
          <w:rFonts w:ascii="Arial" w:hAnsi="Arial" w:cs="Arial"/>
        </w:rPr>
        <w:t>Arquivo Brasileiro de Cardiologia 2001;77(1):16-21.</w:t>
      </w:r>
    </w:p>
    <w:p w:rsidR="002D7F86" w:rsidRPr="00D814BD" w:rsidRDefault="002D7F86" w:rsidP="002D7F86">
      <w:pPr>
        <w:jc w:val="both"/>
        <w:rPr>
          <w:rFonts w:ascii="Arial" w:hAnsi="Arial" w:cs="Arial"/>
          <w:lang w:val="en-US"/>
        </w:rPr>
      </w:pPr>
      <w:r w:rsidRPr="00160812">
        <w:rPr>
          <w:rFonts w:ascii="Arial" w:hAnsi="Arial" w:cs="Arial"/>
        </w:rPr>
        <w:lastRenderedPageBreak/>
        <w:t xml:space="preserve">8. Fuchs FD. Hipertensão arterial sistêmica. </w:t>
      </w:r>
      <w:r w:rsidRPr="00D814BD">
        <w:rPr>
          <w:rFonts w:ascii="Arial" w:hAnsi="Arial" w:cs="Arial"/>
        </w:rPr>
        <w:t xml:space="preserve">In: Duncan BB, Schmidt MI, Giugliani ERJ, et al. </w:t>
      </w:r>
      <w:r w:rsidRPr="00160812">
        <w:rPr>
          <w:rFonts w:ascii="Arial" w:hAnsi="Arial" w:cs="Arial"/>
        </w:rPr>
        <w:t xml:space="preserve">Medicina ambulatorial: condutas de atenção primária baseada em evidências. </w:t>
      </w:r>
      <w:r w:rsidRPr="00D814BD">
        <w:rPr>
          <w:rFonts w:ascii="Arial" w:hAnsi="Arial" w:cs="Arial"/>
          <w:lang w:val="en-US"/>
        </w:rPr>
        <w:t>Porto Alegre: Artmed; 2004. p.641-56.</w:t>
      </w:r>
    </w:p>
    <w:p w:rsidR="002D7F86" w:rsidRPr="00160812" w:rsidRDefault="002D7F86" w:rsidP="002D7F86">
      <w:pPr>
        <w:jc w:val="both"/>
        <w:rPr>
          <w:rFonts w:ascii="Arial" w:hAnsi="Arial" w:cs="Arial"/>
          <w:color w:val="000000"/>
          <w:lang w:val="en-US"/>
        </w:rPr>
      </w:pPr>
      <w:r w:rsidRPr="00160812">
        <w:rPr>
          <w:rFonts w:ascii="Arial" w:hAnsi="Arial" w:cs="Arial"/>
          <w:color w:val="000000"/>
          <w:lang w:val="en-US"/>
        </w:rPr>
        <w:t>9. Janssen I, Katzmarzyk PT, Ross R. Waist circumference and not body mass index explains obesity-related health risk. Am J Clin Nutr 2004; 79:379-84.</w:t>
      </w:r>
    </w:p>
    <w:p w:rsidR="002D7F86" w:rsidRPr="00D814BD" w:rsidRDefault="002D7F86" w:rsidP="002D7F86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60812">
        <w:rPr>
          <w:rFonts w:ascii="Arial" w:hAnsi="Arial" w:cs="Arial"/>
          <w:color w:val="000000"/>
          <w:sz w:val="22"/>
          <w:szCs w:val="22"/>
          <w:lang w:val="en-US"/>
        </w:rPr>
        <w:t xml:space="preserve">10. Mancia G, De Backer G, Dominiczak A, et al. 2007 Guidelines for the management of arterial hypertension: The Task Force for the Management of Arterial  Hypertension of the European Society of Hypertension (ESH) and of the European  Society of Cardiology (ESC). </w:t>
      </w:r>
      <w:r w:rsidRPr="00D814BD">
        <w:rPr>
          <w:rFonts w:ascii="Arial" w:hAnsi="Arial" w:cs="Arial"/>
          <w:color w:val="000000"/>
          <w:sz w:val="22"/>
          <w:szCs w:val="22"/>
        </w:rPr>
        <w:t>Eur Heart J. 2007;28(12):1462-536.</w:t>
      </w:r>
    </w:p>
    <w:p w:rsidR="002D7F86" w:rsidRPr="00160812" w:rsidRDefault="002D7F86" w:rsidP="002D7F86">
      <w:pPr>
        <w:jc w:val="both"/>
        <w:rPr>
          <w:rFonts w:ascii="Arial" w:hAnsi="Arial" w:cs="Arial"/>
          <w:color w:val="000000"/>
        </w:rPr>
      </w:pPr>
    </w:p>
    <w:p w:rsidR="002D7F86" w:rsidRPr="00160812" w:rsidRDefault="002D7F86" w:rsidP="002D7F86">
      <w:pPr>
        <w:jc w:val="both"/>
        <w:rPr>
          <w:rFonts w:ascii="Arial" w:hAnsi="Arial" w:cs="Arial"/>
        </w:rPr>
      </w:pPr>
      <w:r w:rsidRPr="00160812">
        <w:rPr>
          <w:rFonts w:ascii="Arial" w:hAnsi="Arial" w:cs="Arial"/>
        </w:rPr>
        <w:t>11. Malta DC, Moura L, Souza FM, Rocha FM, Fernandes FM. Doenças crônicas não transmissíveis: mortalidade e fatores de risco no Brasil, 1990 a 2006 in Saúde Brasil 2008. Ministério da Saúde, Brasília. 2009. Pág 337–362.</w:t>
      </w:r>
    </w:p>
    <w:p w:rsidR="002D7F86" w:rsidRPr="00D814BD" w:rsidRDefault="002D7F86" w:rsidP="002D7F86">
      <w:pPr>
        <w:jc w:val="both"/>
        <w:rPr>
          <w:rFonts w:ascii="Arial" w:hAnsi="Arial" w:cs="Arial"/>
        </w:rPr>
      </w:pPr>
      <w:r w:rsidRPr="00FC75B6">
        <w:rPr>
          <w:rFonts w:ascii="Arial" w:hAnsi="Arial" w:cs="Arial"/>
          <w:lang w:val="en-US"/>
        </w:rPr>
        <w:t xml:space="preserve">12. Mcgavock JM, Anderson TJ, Lewanczuk RZ. </w:t>
      </w:r>
      <w:r w:rsidRPr="00160812">
        <w:rPr>
          <w:rFonts w:ascii="Arial" w:hAnsi="Arial" w:cs="Arial"/>
          <w:lang w:val="en-US"/>
        </w:rPr>
        <w:t xml:space="preserve">Sedentary lifestyle and antecedents of cardiovascular disease in young adults. </w:t>
      </w:r>
      <w:r w:rsidRPr="00D814BD">
        <w:rPr>
          <w:rFonts w:ascii="Arial" w:hAnsi="Arial" w:cs="Arial"/>
        </w:rPr>
        <w:t>Am J Hypertens 2006;19(7):701-7.</w:t>
      </w:r>
    </w:p>
    <w:p w:rsidR="002D7F86" w:rsidRPr="00160812" w:rsidRDefault="002D7F86" w:rsidP="002D7F86">
      <w:pPr>
        <w:jc w:val="both"/>
        <w:rPr>
          <w:rFonts w:ascii="Arial" w:hAnsi="Arial" w:cs="Arial"/>
          <w:color w:val="000000"/>
          <w:lang w:val="en-US"/>
        </w:rPr>
      </w:pPr>
      <w:r w:rsidRPr="00160812">
        <w:rPr>
          <w:rFonts w:ascii="Arial" w:hAnsi="Arial" w:cs="Arial"/>
        </w:rPr>
        <w:t xml:space="preserve">13. </w:t>
      </w:r>
      <w:r w:rsidRPr="00160812">
        <w:rPr>
          <w:rFonts w:ascii="Arial" w:hAnsi="Arial" w:cs="Arial"/>
          <w:color w:val="000000"/>
        </w:rPr>
        <w:t xml:space="preserve">Monteiro MF, Sobral Filho DC. Exercício físico e controle da pressão arterial. </w:t>
      </w:r>
      <w:r w:rsidRPr="00160812">
        <w:rPr>
          <w:rFonts w:ascii="Arial" w:hAnsi="Arial" w:cs="Arial"/>
          <w:color w:val="000000"/>
          <w:lang w:val="en-US"/>
        </w:rPr>
        <w:t>Rev Bras Med Esporte 2004;10(6):513-6.</w:t>
      </w:r>
    </w:p>
    <w:p w:rsidR="002D7F86" w:rsidRPr="00160812" w:rsidRDefault="002D7F86" w:rsidP="002D7F86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160812">
        <w:rPr>
          <w:rFonts w:ascii="Arial" w:hAnsi="Arial" w:cs="Arial"/>
          <w:color w:val="000000"/>
          <w:sz w:val="22"/>
          <w:szCs w:val="22"/>
          <w:lang w:val="en-US"/>
        </w:rPr>
        <w:t>14. Puddey IB, Beilin LJ. Alcohol is bad for hypertension. Clin Exp Pharmacol Physiol. 2006;33(9):847-52.</w:t>
      </w:r>
    </w:p>
    <w:p w:rsidR="002D7F86" w:rsidRPr="00160812" w:rsidRDefault="002D7F86" w:rsidP="002D7F86">
      <w:pPr>
        <w:pStyle w:val="NormalWeb"/>
        <w:shd w:val="clear" w:color="auto" w:fill="FFFFFF"/>
        <w:spacing w:line="276" w:lineRule="auto"/>
        <w:jc w:val="both"/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60812">
        <w:rPr>
          <w:rFonts w:ascii="Arial" w:hAnsi="Arial" w:cs="Arial"/>
          <w:color w:val="000000"/>
          <w:sz w:val="22"/>
          <w:szCs w:val="22"/>
          <w:shd w:val="clear" w:color="auto" w:fill="FFFFFF"/>
        </w:rPr>
        <w:t>15. Rezende FAC, Rosado LEFLP, Ribeiro RCL, Vidigal FC, Vasques ACJ, Bonard IS, et al. Índice de massa corporal e circunferência abdominal: associação com fatores de risco cardiovascular. Arq Bras Cardiol 2006; 87:728-34.</w:t>
      </w:r>
      <w:r w:rsidRPr="00160812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2D7F86" w:rsidRPr="00160812" w:rsidRDefault="002D7F86" w:rsidP="002D7F86">
      <w:pPr>
        <w:jc w:val="both"/>
        <w:rPr>
          <w:rFonts w:ascii="Arial" w:hAnsi="Arial" w:cs="Arial"/>
          <w:lang w:val="en-US"/>
        </w:rPr>
      </w:pPr>
      <w:r w:rsidRPr="00160812">
        <w:rPr>
          <w:rFonts w:ascii="Arial" w:hAnsi="Arial" w:cs="Arial"/>
        </w:rPr>
        <w:t xml:space="preserve">16. Rosário TM, Scala LCNS, França GVA, Pereira MRG, Jardim PCBV. Prevalência, controle e tratamento da hipertensão arterial sistêmica em Nobres, MT. </w:t>
      </w:r>
      <w:r w:rsidRPr="00160812">
        <w:rPr>
          <w:rFonts w:ascii="Arial" w:hAnsi="Arial" w:cs="Arial"/>
          <w:lang w:val="en-US"/>
        </w:rPr>
        <w:t>Arq Bras Card 2009; 93(6): 672 678.</w:t>
      </w:r>
    </w:p>
    <w:p w:rsidR="002D7F86" w:rsidRPr="00160812" w:rsidRDefault="002D7F86" w:rsidP="002D7F86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60812">
        <w:rPr>
          <w:rFonts w:ascii="Arial" w:hAnsi="Arial" w:cs="Arial"/>
          <w:color w:val="000000"/>
          <w:sz w:val="22"/>
          <w:szCs w:val="22"/>
          <w:lang w:val="en-US"/>
        </w:rPr>
        <w:t xml:space="preserve">17. Ross R, Berentzen T, Bradshaw AJ, Janssen I, Kahn HS, Katzmarzyk PT, et al. Does the relationship between waist circumference, morbidity and mortality depend on measurement protocol for waist circumference? </w:t>
      </w:r>
      <w:r w:rsidRPr="00160812">
        <w:rPr>
          <w:rFonts w:ascii="Arial" w:hAnsi="Arial" w:cs="Arial"/>
          <w:color w:val="000000"/>
          <w:sz w:val="22"/>
          <w:szCs w:val="22"/>
        </w:rPr>
        <w:t xml:space="preserve">Obes Rev 2007; </w:t>
      </w:r>
    </w:p>
    <w:p w:rsidR="002D7F86" w:rsidRPr="00D814BD" w:rsidRDefault="002D7F86" w:rsidP="002D7F86">
      <w:pPr>
        <w:jc w:val="both"/>
        <w:rPr>
          <w:rFonts w:ascii="Arial" w:hAnsi="Arial" w:cs="Arial"/>
        </w:rPr>
      </w:pPr>
      <w:r w:rsidRPr="00160812">
        <w:rPr>
          <w:rFonts w:ascii="Arial" w:hAnsi="Arial" w:cs="Arial"/>
        </w:rPr>
        <w:t xml:space="preserve">18. Sociedade Brasileira de Cardiologia. VI Diretrizes Brasileiras de Hipertensão. </w:t>
      </w:r>
      <w:r w:rsidRPr="00D814BD">
        <w:rPr>
          <w:rFonts w:ascii="Arial" w:hAnsi="Arial" w:cs="Arial"/>
        </w:rPr>
        <w:t>Arq Bras Cardiol 2010.</w:t>
      </w:r>
    </w:p>
    <w:p w:rsidR="002D7F86" w:rsidRPr="00D814BD" w:rsidRDefault="002D7F86" w:rsidP="002D7F86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FC75B6">
        <w:rPr>
          <w:rFonts w:ascii="Arial" w:hAnsi="Arial" w:cs="Arial"/>
          <w:color w:val="000000"/>
          <w:sz w:val="22"/>
          <w:szCs w:val="22"/>
          <w:lang w:val="en-US"/>
        </w:rPr>
        <w:t xml:space="preserve">19. Theme-Filha MM, Szwarcwald CL, Souza-Júnior, PRB. </w:t>
      </w:r>
      <w:r w:rsidRPr="00160812">
        <w:rPr>
          <w:rFonts w:ascii="Arial" w:hAnsi="Arial" w:cs="Arial"/>
          <w:color w:val="000000"/>
          <w:sz w:val="22"/>
          <w:szCs w:val="22"/>
        </w:rPr>
        <w:t xml:space="preserve">Características sócio-demográﬁcas, cobertura de tratamento e auto-avaliação da saúde dos indivíduos que referiram seis doenças crônicas no Brasil, 2003. </w:t>
      </w:r>
      <w:r w:rsidRPr="00D814BD">
        <w:rPr>
          <w:rFonts w:ascii="Arial" w:hAnsi="Arial" w:cs="Arial"/>
          <w:color w:val="000000"/>
          <w:sz w:val="22"/>
          <w:szCs w:val="22"/>
          <w:lang w:val="en-US"/>
        </w:rPr>
        <w:t xml:space="preserve">Cad Saude Publica. 2005;21(Supl 1):43-53. </w:t>
      </w:r>
    </w:p>
    <w:p w:rsidR="002F7A3F" w:rsidRPr="008766B2" w:rsidRDefault="002D7F86" w:rsidP="00160812">
      <w:pPr>
        <w:jc w:val="both"/>
        <w:rPr>
          <w:rFonts w:ascii="Arial" w:hAnsi="Arial" w:cs="Arial"/>
          <w:sz w:val="24"/>
          <w:szCs w:val="24"/>
        </w:rPr>
      </w:pPr>
      <w:r w:rsidRPr="00160812">
        <w:rPr>
          <w:rFonts w:ascii="Arial" w:hAnsi="Arial" w:cs="Arial"/>
          <w:lang w:val="en-US"/>
        </w:rPr>
        <w:t>20. Whitworth JA. World Health Organization (WHO)/International Society of Hypertension (ISH) statement on management of hypertension. J Hypertens 2003;21(11):1983-92.</w:t>
      </w:r>
      <w:r>
        <w:rPr>
          <w:rFonts w:ascii="Arial" w:hAnsi="Arial" w:cs="Arial"/>
          <w:sz w:val="24"/>
          <w:szCs w:val="24"/>
        </w:rPr>
        <w:tab/>
      </w:r>
    </w:p>
    <w:p w:rsidR="002F7A3F" w:rsidRPr="008766B2" w:rsidRDefault="002F7A3F" w:rsidP="008766B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F7A3F" w:rsidRPr="008766B2" w:rsidSect="00943240"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0E" w:rsidRDefault="00FC610E" w:rsidP="00D9655B">
      <w:pPr>
        <w:spacing w:after="0" w:line="240" w:lineRule="auto"/>
      </w:pPr>
      <w:r>
        <w:separator/>
      </w:r>
    </w:p>
  </w:endnote>
  <w:endnote w:type="continuationSeparator" w:id="0">
    <w:p w:rsidR="00FC610E" w:rsidRDefault="00FC610E" w:rsidP="00D9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Pro-Con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22939"/>
      <w:docPartObj>
        <w:docPartGallery w:val="Page Numbers (Bottom of Page)"/>
        <w:docPartUnique/>
      </w:docPartObj>
    </w:sdtPr>
    <w:sdtEndPr/>
    <w:sdtContent>
      <w:p w:rsidR="00B114CE" w:rsidRDefault="005D453E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5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655B" w:rsidRDefault="00D965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0E" w:rsidRDefault="00FC610E" w:rsidP="00D9655B">
      <w:pPr>
        <w:spacing w:after="0" w:line="240" w:lineRule="auto"/>
      </w:pPr>
      <w:r>
        <w:separator/>
      </w:r>
    </w:p>
  </w:footnote>
  <w:footnote w:type="continuationSeparator" w:id="0">
    <w:p w:rsidR="00FC610E" w:rsidRDefault="00FC610E" w:rsidP="00D96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3F"/>
    <w:rsid w:val="00022E9E"/>
    <w:rsid w:val="00133BE1"/>
    <w:rsid w:val="00160812"/>
    <w:rsid w:val="001711BB"/>
    <w:rsid w:val="00183DE9"/>
    <w:rsid w:val="00195A6E"/>
    <w:rsid w:val="002D7F86"/>
    <w:rsid w:val="002F7A3F"/>
    <w:rsid w:val="00374223"/>
    <w:rsid w:val="00404EAD"/>
    <w:rsid w:val="005D453E"/>
    <w:rsid w:val="006F0C95"/>
    <w:rsid w:val="0075235B"/>
    <w:rsid w:val="00771576"/>
    <w:rsid w:val="008766B2"/>
    <w:rsid w:val="00930486"/>
    <w:rsid w:val="00943240"/>
    <w:rsid w:val="00987242"/>
    <w:rsid w:val="00A10A42"/>
    <w:rsid w:val="00AE7D89"/>
    <w:rsid w:val="00B114CE"/>
    <w:rsid w:val="00C004E9"/>
    <w:rsid w:val="00CA6D3B"/>
    <w:rsid w:val="00CE1F87"/>
    <w:rsid w:val="00CE55D5"/>
    <w:rsid w:val="00D45C5E"/>
    <w:rsid w:val="00D814BD"/>
    <w:rsid w:val="00D9655B"/>
    <w:rsid w:val="00DF6663"/>
    <w:rsid w:val="00FC610E"/>
    <w:rsid w:val="00FC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F7A3F"/>
  </w:style>
  <w:style w:type="character" w:styleId="Hyperlink">
    <w:name w:val="Hyperlink"/>
    <w:basedOn w:val="Fontepargpadro"/>
    <w:uiPriority w:val="99"/>
    <w:semiHidden/>
    <w:unhideWhenUsed/>
    <w:rsid w:val="002F7A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F0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E9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022E9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D96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655B"/>
  </w:style>
  <w:style w:type="paragraph" w:styleId="Rodap">
    <w:name w:val="footer"/>
    <w:basedOn w:val="Normal"/>
    <w:link w:val="RodapChar"/>
    <w:uiPriority w:val="99"/>
    <w:unhideWhenUsed/>
    <w:rsid w:val="00D96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6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F7A3F"/>
  </w:style>
  <w:style w:type="character" w:styleId="Hyperlink">
    <w:name w:val="Hyperlink"/>
    <w:basedOn w:val="Fontepargpadro"/>
    <w:uiPriority w:val="99"/>
    <w:semiHidden/>
    <w:unhideWhenUsed/>
    <w:rsid w:val="002F7A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F0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E9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022E9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D96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655B"/>
  </w:style>
  <w:style w:type="paragraph" w:styleId="Rodap">
    <w:name w:val="footer"/>
    <w:basedOn w:val="Normal"/>
    <w:link w:val="RodapChar"/>
    <w:uiPriority w:val="99"/>
    <w:unhideWhenUsed/>
    <w:rsid w:val="00D96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Brasil" TargetMode="Externa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t.wikipedia.org/wiki/Munic%C3%ADpio" TargetMode="Externa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chart" Target="charts/chart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t.wikipedia.org/wiki/Para%C3%ADba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10" Type="http://schemas.openxmlformats.org/officeDocument/2006/relationships/hyperlink" Target="http://pt.wikipedia.org/wiki/Instituto_Brasileiro_de_Geografia_e_Estat%C3%ADstic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t.wikipedia.org/wiki/Mesorregi%C3%A3o_do_Sert%C3%A3o_Paraibano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Estratificação da população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estratificação da população</c:v>
                </c:pt>
              </c:strCache>
            </c:strRef>
          </c:tx>
          <c:explosion val="34"/>
          <c:cat>
            <c:strRef>
              <c:f>Plan1!$A$2:$A$6</c:f>
              <c:strCache>
                <c:ptCount val="5"/>
                <c:pt idx="0">
                  <c:v>pa normal</c:v>
                </c:pt>
                <c:pt idx="1">
                  <c:v>pa pré-has</c:v>
                </c:pt>
                <c:pt idx="2">
                  <c:v>has estágio I</c:v>
                </c:pt>
                <c:pt idx="3">
                  <c:v>has estágio II</c:v>
                </c:pt>
                <c:pt idx="4">
                  <c:v>has estágio III</c:v>
                </c:pt>
              </c:strCache>
            </c:strRef>
          </c:cat>
          <c:val>
            <c:numRef>
              <c:f>Plan1!$B$2:$B$6</c:f>
              <c:numCache>
                <c:formatCode>0.00%</c:formatCode>
                <c:ptCount val="5"/>
                <c:pt idx="0">
                  <c:v>0.54270000000000063</c:v>
                </c:pt>
                <c:pt idx="1">
                  <c:v>0.11890000000000019</c:v>
                </c:pt>
                <c:pt idx="2">
                  <c:v>0.28660000000000002</c:v>
                </c:pt>
                <c:pt idx="3">
                  <c:v>4.570000000000024E-2</c:v>
                </c:pt>
                <c:pt idx="4">
                  <c:v>6.1000000000000134E-3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normotenso</c:v>
                </c:pt>
              </c:strCache>
            </c:strRef>
          </c:tx>
          <c:invertIfNegative val="0"/>
          <c:cat>
            <c:strRef>
              <c:f>Plan1!$A$2:$A$7</c:f>
              <c:strCache>
                <c:ptCount val="5"/>
                <c:pt idx="0">
                  <c:v>18-29</c:v>
                </c:pt>
                <c:pt idx="1">
                  <c:v>30-39</c:v>
                </c:pt>
                <c:pt idx="2">
                  <c:v>40-49</c:v>
                </c:pt>
                <c:pt idx="3">
                  <c:v>50-59</c:v>
                </c:pt>
                <c:pt idx="4">
                  <c:v>60-70</c:v>
                </c:pt>
              </c:strCache>
            </c:strRef>
          </c:cat>
          <c:val>
            <c:numRef>
              <c:f>Plan1!$B$2:$B$7</c:f>
              <c:numCache>
                <c:formatCode>0.00%</c:formatCode>
                <c:ptCount val="6"/>
                <c:pt idx="0">
                  <c:v>0.17590000000000044</c:v>
                </c:pt>
                <c:pt idx="1">
                  <c:v>0.10610000000000012</c:v>
                </c:pt>
                <c:pt idx="2">
                  <c:v>8.3700000000000066E-2</c:v>
                </c:pt>
                <c:pt idx="3">
                  <c:v>7.5400000000000023E-2</c:v>
                </c:pt>
                <c:pt idx="4">
                  <c:v>5.6099999999999997E-2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limítrofe</c:v>
                </c:pt>
              </c:strCache>
            </c:strRef>
          </c:tx>
          <c:invertIfNegative val="0"/>
          <c:cat>
            <c:strRef>
              <c:f>Plan1!$A$2:$A$7</c:f>
              <c:strCache>
                <c:ptCount val="5"/>
                <c:pt idx="0">
                  <c:v>18-29</c:v>
                </c:pt>
                <c:pt idx="1">
                  <c:v>30-39</c:v>
                </c:pt>
                <c:pt idx="2">
                  <c:v>40-49</c:v>
                </c:pt>
                <c:pt idx="3">
                  <c:v>50-59</c:v>
                </c:pt>
                <c:pt idx="4">
                  <c:v>60-70</c:v>
                </c:pt>
              </c:strCache>
            </c:strRef>
          </c:cat>
          <c:val>
            <c:numRef>
              <c:f>Plan1!$C$2:$C$7</c:f>
              <c:numCache>
                <c:formatCode>0.00%</c:formatCode>
                <c:ptCount val="6"/>
                <c:pt idx="0">
                  <c:v>1.1100000000000075E-2</c:v>
                </c:pt>
                <c:pt idx="1">
                  <c:v>1.3899999999999999E-2</c:v>
                </c:pt>
                <c:pt idx="2">
                  <c:v>3.9100000000000003E-2</c:v>
                </c:pt>
                <c:pt idx="3">
                  <c:v>2.2400000000000052E-2</c:v>
                </c:pt>
                <c:pt idx="4">
                  <c:v>2.2400000000000052E-2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Estágio I</c:v>
                </c:pt>
              </c:strCache>
            </c:strRef>
          </c:tx>
          <c:invertIfNegative val="0"/>
          <c:cat>
            <c:strRef>
              <c:f>Plan1!$A$2:$A$7</c:f>
              <c:strCache>
                <c:ptCount val="5"/>
                <c:pt idx="0">
                  <c:v>18-29</c:v>
                </c:pt>
                <c:pt idx="1">
                  <c:v>30-39</c:v>
                </c:pt>
                <c:pt idx="2">
                  <c:v>40-49</c:v>
                </c:pt>
                <c:pt idx="3">
                  <c:v>50-59</c:v>
                </c:pt>
                <c:pt idx="4">
                  <c:v>60-70</c:v>
                </c:pt>
              </c:strCache>
            </c:strRef>
          </c:cat>
          <c:val>
            <c:numRef>
              <c:f>Plan1!$D$2:$D$7</c:f>
              <c:numCache>
                <c:formatCode>0.00%</c:formatCode>
                <c:ptCount val="6"/>
                <c:pt idx="0">
                  <c:v>1.6700000000000107E-2</c:v>
                </c:pt>
                <c:pt idx="1">
                  <c:v>1.9500000000000128E-2</c:v>
                </c:pt>
                <c:pt idx="2">
                  <c:v>7.2600000000000012E-2</c:v>
                </c:pt>
                <c:pt idx="3">
                  <c:v>7.2600000000000012E-2</c:v>
                </c:pt>
                <c:pt idx="4">
                  <c:v>8.1100000000000005E-2</c:v>
                </c:pt>
              </c:numCache>
            </c:numRef>
          </c:val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Estágio II</c:v>
                </c:pt>
              </c:strCache>
            </c:strRef>
          </c:tx>
          <c:invertIfNegative val="0"/>
          <c:cat>
            <c:strRef>
              <c:f>Plan1!$A$2:$A$7</c:f>
              <c:strCache>
                <c:ptCount val="5"/>
                <c:pt idx="0">
                  <c:v>18-29</c:v>
                </c:pt>
                <c:pt idx="1">
                  <c:v>30-39</c:v>
                </c:pt>
                <c:pt idx="2">
                  <c:v>40-49</c:v>
                </c:pt>
                <c:pt idx="3">
                  <c:v>50-59</c:v>
                </c:pt>
                <c:pt idx="4">
                  <c:v>60-70</c:v>
                </c:pt>
              </c:strCache>
            </c:strRef>
          </c:cat>
          <c:val>
            <c:numRef>
              <c:f>Plan1!$E$2:$E$7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 formatCode="0.00%">
                  <c:v>1.9500000000000128E-2</c:v>
                </c:pt>
                <c:pt idx="3" formatCode="0.00%">
                  <c:v>8.3000000000000226E-3</c:v>
                </c:pt>
                <c:pt idx="4" formatCode="0.00%">
                  <c:v>1.4200000000000001E-2</c:v>
                </c:pt>
              </c:numCache>
            </c:numRef>
          </c:val>
        </c:ser>
        <c:ser>
          <c:idx val="4"/>
          <c:order val="4"/>
          <c:tx>
            <c:strRef>
              <c:f>Plan1!$F$1</c:f>
              <c:strCache>
                <c:ptCount val="1"/>
                <c:pt idx="0">
                  <c:v>Estágio III</c:v>
                </c:pt>
              </c:strCache>
            </c:strRef>
          </c:tx>
          <c:invertIfNegative val="0"/>
          <c:cat>
            <c:strRef>
              <c:f>Plan1!$A$2:$A$7</c:f>
              <c:strCache>
                <c:ptCount val="5"/>
                <c:pt idx="0">
                  <c:v>18-29</c:v>
                </c:pt>
                <c:pt idx="1">
                  <c:v>30-39</c:v>
                </c:pt>
                <c:pt idx="2">
                  <c:v>40-49</c:v>
                </c:pt>
                <c:pt idx="3">
                  <c:v>50-59</c:v>
                </c:pt>
                <c:pt idx="4">
                  <c:v>60-70</c:v>
                </c:pt>
              </c:strCache>
            </c:strRef>
          </c:cat>
          <c:val>
            <c:numRef>
              <c:f>Plan1!$F$2:$F$7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0.00%">
                  <c:v>5.6000000000000034E-3</c:v>
                </c:pt>
                <c:pt idx="4">
                  <c:v>0</c:v>
                </c:pt>
              </c:numCache>
            </c:numRef>
          </c:val>
        </c:ser>
        <c:ser>
          <c:idx val="5"/>
          <c:order val="5"/>
          <c:tx>
            <c:strRef>
              <c:f>Plan1!$G$1</c:f>
              <c:strCache>
                <c:ptCount val="1"/>
                <c:pt idx="0">
                  <c:v>Não diagnosticados</c:v>
                </c:pt>
              </c:strCache>
            </c:strRef>
          </c:tx>
          <c:invertIfNegative val="0"/>
          <c:cat>
            <c:strRef>
              <c:f>Plan1!$A$2:$A$7</c:f>
              <c:strCache>
                <c:ptCount val="5"/>
                <c:pt idx="0">
                  <c:v>18-29</c:v>
                </c:pt>
                <c:pt idx="1">
                  <c:v>30-39</c:v>
                </c:pt>
                <c:pt idx="2">
                  <c:v>40-49</c:v>
                </c:pt>
                <c:pt idx="3">
                  <c:v>50-59</c:v>
                </c:pt>
                <c:pt idx="4">
                  <c:v>60-70</c:v>
                </c:pt>
              </c:strCache>
            </c:strRef>
          </c:cat>
          <c:val>
            <c:numRef>
              <c:f>Plan1!$G$2:$G$7</c:f>
              <c:numCache>
                <c:formatCode>0.00%</c:formatCode>
                <c:ptCount val="6"/>
                <c:pt idx="0">
                  <c:v>1.1100000000000075E-2</c:v>
                </c:pt>
                <c:pt idx="1">
                  <c:v>1.3899999999999999E-2</c:v>
                </c:pt>
                <c:pt idx="2">
                  <c:v>2.5100000000000001E-2</c:v>
                </c:pt>
                <c:pt idx="3">
                  <c:v>1.3899999999999999E-2</c:v>
                </c:pt>
                <c:pt idx="4">
                  <c:v>1.980000000000014E-2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601472"/>
        <c:axId val="232603008"/>
      </c:barChart>
      <c:catAx>
        <c:axId val="232601472"/>
        <c:scaling>
          <c:orientation val="minMax"/>
        </c:scaling>
        <c:delete val="0"/>
        <c:axPos val="b"/>
        <c:majorTickMark val="out"/>
        <c:minorTickMark val="none"/>
        <c:tickLblPos val="nextTo"/>
        <c:crossAx val="232603008"/>
        <c:crosses val="autoZero"/>
        <c:auto val="1"/>
        <c:lblAlgn val="ctr"/>
        <c:lblOffset val="100"/>
        <c:noMultiLvlLbl val="0"/>
      </c:catAx>
      <c:valAx>
        <c:axId val="23260300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32601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Fatores de risco para HAS</c:v>
                </c:pt>
              </c:strCache>
            </c:strRef>
          </c:tx>
          <c:invertIfNegative val="0"/>
          <c:cat>
            <c:strRef>
              <c:f>Plan1!$A$2:$A$15</c:f>
              <c:strCache>
                <c:ptCount val="14"/>
                <c:pt idx="0">
                  <c:v>sedentarismo</c:v>
                </c:pt>
                <c:pt idx="1">
                  <c:v>antecedente familiar de HAS</c:v>
                </c:pt>
                <c:pt idx="2">
                  <c:v>dieta rica em sal sal </c:v>
                </c:pt>
                <c:pt idx="3">
                  <c:v>IMC ≥ 25</c:v>
                </c:pt>
                <c:pt idx="4">
                  <c:v>ca  aumentada </c:v>
                </c:pt>
                <c:pt idx="5">
                  <c:v>acima de 50 anos </c:v>
                </c:pt>
                <c:pt idx="6">
                  <c:v>sexo masculino </c:v>
                </c:pt>
                <c:pt idx="7">
                  <c:v>usa anticoncepcional </c:v>
                </c:pt>
                <c:pt idx="8">
                  <c:v>tabagismo</c:v>
                </c:pt>
                <c:pt idx="9">
                  <c:v>dieta inadequado </c:v>
                </c:pt>
                <c:pt idx="10">
                  <c:v>dislipidemia</c:v>
                </c:pt>
                <c:pt idx="11">
                  <c:v>uso crônico de álcool </c:v>
                </c:pt>
                <c:pt idx="12">
                  <c:v>raça negra </c:v>
                </c:pt>
                <c:pt idx="13">
                  <c:v>diabetes mellitus</c:v>
                </c:pt>
              </c:strCache>
            </c:strRef>
          </c:cat>
          <c:val>
            <c:numRef>
              <c:f>Plan1!$B$2:$B$15</c:f>
              <c:numCache>
                <c:formatCode>0.00%</c:formatCode>
                <c:ptCount val="14"/>
                <c:pt idx="0">
                  <c:v>0.69599999999999995</c:v>
                </c:pt>
                <c:pt idx="1">
                  <c:v>0.58399999999999996</c:v>
                </c:pt>
                <c:pt idx="2">
                  <c:v>0.53700000000000003</c:v>
                </c:pt>
                <c:pt idx="3">
                  <c:v>0.52500000000000002</c:v>
                </c:pt>
                <c:pt idx="4">
                  <c:v>0.41900000000000032</c:v>
                </c:pt>
                <c:pt idx="5">
                  <c:v>0.37400000000000178</c:v>
                </c:pt>
                <c:pt idx="6">
                  <c:v>0.31570000000000031</c:v>
                </c:pt>
                <c:pt idx="7" formatCode="0%">
                  <c:v>0.33000000000000224</c:v>
                </c:pt>
                <c:pt idx="8">
                  <c:v>0.254</c:v>
                </c:pt>
                <c:pt idx="9" formatCode="0%">
                  <c:v>0.23</c:v>
                </c:pt>
                <c:pt idx="10">
                  <c:v>0.16500000000000001</c:v>
                </c:pt>
                <c:pt idx="11">
                  <c:v>0.13900000000000001</c:v>
                </c:pt>
                <c:pt idx="12">
                  <c:v>0.13300000000000001</c:v>
                </c:pt>
                <c:pt idx="13" formatCode="0%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614912"/>
        <c:axId val="232616704"/>
      </c:barChart>
      <c:catAx>
        <c:axId val="2326149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pt-BR"/>
          </a:p>
        </c:txPr>
        <c:crossAx val="232616704"/>
        <c:crosses val="autoZero"/>
        <c:auto val="1"/>
        <c:lblAlgn val="ctr"/>
        <c:lblOffset val="100"/>
        <c:noMultiLvlLbl val="0"/>
      </c:catAx>
      <c:valAx>
        <c:axId val="23261670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32614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normotensos</c:v>
                </c:pt>
              </c:strCache>
            </c:strRef>
          </c:tx>
          <c:invertIfNegative val="0"/>
          <c:cat>
            <c:strRef>
              <c:f>Plan1!$A$2:$A$15</c:f>
              <c:strCache>
                <c:ptCount val="14"/>
                <c:pt idx="0">
                  <c:v>brancos</c:v>
                </c:pt>
                <c:pt idx="1">
                  <c:v>pardos</c:v>
                </c:pt>
                <c:pt idx="2">
                  <c:v>negros</c:v>
                </c:pt>
                <c:pt idx="3">
                  <c:v>Antecedentes de HAS</c:v>
                </c:pt>
                <c:pt idx="4">
                  <c:v>julgam trabalho estressante</c:v>
                </c:pt>
                <c:pt idx="5">
                  <c:v>alimentação rica em sal</c:v>
                </c:pt>
                <c:pt idx="6">
                  <c:v>sedentários</c:v>
                </c:pt>
                <c:pt idx="7">
                  <c:v>ca  aumentada</c:v>
                </c:pt>
                <c:pt idx="8">
                  <c:v>tabagistas</c:v>
                </c:pt>
                <c:pt idx="9">
                  <c:v>etilistas</c:v>
                </c:pt>
                <c:pt idx="10">
                  <c:v>Uso de anticoncepcional</c:v>
                </c:pt>
                <c:pt idx="11">
                  <c:v>IMC normal</c:v>
                </c:pt>
                <c:pt idx="12">
                  <c:v>sobrepeso</c:v>
                </c:pt>
                <c:pt idx="13">
                  <c:v>obesos.</c:v>
                </c:pt>
              </c:strCache>
            </c:strRef>
          </c:cat>
          <c:val>
            <c:numRef>
              <c:f>Plan1!$B$2:$B$15</c:f>
              <c:numCache>
                <c:formatCode>0.00%</c:formatCode>
                <c:ptCount val="14"/>
                <c:pt idx="0">
                  <c:v>0.30840000000000189</c:v>
                </c:pt>
                <c:pt idx="1">
                  <c:v>0.56180000000000063</c:v>
                </c:pt>
                <c:pt idx="2">
                  <c:v>0.1298</c:v>
                </c:pt>
                <c:pt idx="3">
                  <c:v>0.59549999999999959</c:v>
                </c:pt>
                <c:pt idx="4">
                  <c:v>0.29770000000000002</c:v>
                </c:pt>
                <c:pt idx="5">
                  <c:v>0.57860000000000378</c:v>
                </c:pt>
                <c:pt idx="6">
                  <c:v>0.87270000000000425</c:v>
                </c:pt>
                <c:pt idx="7">
                  <c:v>0.37080000000000213</c:v>
                </c:pt>
                <c:pt idx="8">
                  <c:v>0.25829999999999997</c:v>
                </c:pt>
                <c:pt idx="9">
                  <c:v>0.17980000000000004</c:v>
                </c:pt>
                <c:pt idx="10">
                  <c:v>0.22220000000000001</c:v>
                </c:pt>
                <c:pt idx="11">
                  <c:v>0.62350000000000005</c:v>
                </c:pt>
                <c:pt idx="12">
                  <c:v>0.28660000000000002</c:v>
                </c:pt>
                <c:pt idx="13">
                  <c:v>8.9900000000000063E-2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HAS</c:v>
                </c:pt>
              </c:strCache>
            </c:strRef>
          </c:tx>
          <c:invertIfNegative val="0"/>
          <c:cat>
            <c:strRef>
              <c:f>Plan1!$A$2:$A$15</c:f>
              <c:strCache>
                <c:ptCount val="14"/>
                <c:pt idx="0">
                  <c:v>brancos</c:v>
                </c:pt>
                <c:pt idx="1">
                  <c:v>pardos</c:v>
                </c:pt>
                <c:pt idx="2">
                  <c:v>negros</c:v>
                </c:pt>
                <c:pt idx="3">
                  <c:v>Antecedentes de HAS</c:v>
                </c:pt>
                <c:pt idx="4">
                  <c:v>julgam trabalho estressante</c:v>
                </c:pt>
                <c:pt idx="5">
                  <c:v>alimentação rica em sal</c:v>
                </c:pt>
                <c:pt idx="6">
                  <c:v>sedentários</c:v>
                </c:pt>
                <c:pt idx="7">
                  <c:v>ca  aumentada</c:v>
                </c:pt>
                <c:pt idx="8">
                  <c:v>tabagistas</c:v>
                </c:pt>
                <c:pt idx="9">
                  <c:v>etilistas</c:v>
                </c:pt>
                <c:pt idx="10">
                  <c:v>Uso de anticoncepcional</c:v>
                </c:pt>
                <c:pt idx="11">
                  <c:v>IMC normal</c:v>
                </c:pt>
                <c:pt idx="12">
                  <c:v>sobrepeso</c:v>
                </c:pt>
                <c:pt idx="13">
                  <c:v>obesos.</c:v>
                </c:pt>
              </c:strCache>
            </c:strRef>
          </c:cat>
          <c:val>
            <c:numRef>
              <c:f>Plan1!$C$2:$C$15</c:f>
              <c:numCache>
                <c:formatCode>0.00%</c:formatCode>
                <c:ptCount val="14"/>
                <c:pt idx="0">
                  <c:v>0.32930000000000265</c:v>
                </c:pt>
                <c:pt idx="1">
                  <c:v>0.59460000000000002</c:v>
                </c:pt>
                <c:pt idx="2">
                  <c:v>7.6100000000000001E-2</c:v>
                </c:pt>
                <c:pt idx="3">
                  <c:v>0.69480000000000064</c:v>
                </c:pt>
                <c:pt idx="4">
                  <c:v>0.32090000000000213</c:v>
                </c:pt>
                <c:pt idx="5">
                  <c:v>0.51219999999999999</c:v>
                </c:pt>
                <c:pt idx="6">
                  <c:v>0.76840000000000064</c:v>
                </c:pt>
                <c:pt idx="7">
                  <c:v>0.57330000000000003</c:v>
                </c:pt>
                <c:pt idx="8">
                  <c:v>0.32910000000000178</c:v>
                </c:pt>
                <c:pt idx="9">
                  <c:v>0.18300000000000041</c:v>
                </c:pt>
                <c:pt idx="10">
                  <c:v>6.9600000000000023E-2</c:v>
                </c:pt>
                <c:pt idx="11">
                  <c:v>0.35340000000000032</c:v>
                </c:pt>
                <c:pt idx="12">
                  <c:v>0.40240000000000031</c:v>
                </c:pt>
                <c:pt idx="13">
                  <c:v>0.24420000000000044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subdiagnosticados</c:v>
                </c:pt>
              </c:strCache>
            </c:strRef>
          </c:tx>
          <c:invertIfNegative val="0"/>
          <c:cat>
            <c:strRef>
              <c:f>Plan1!$A$2:$A$15</c:f>
              <c:strCache>
                <c:ptCount val="14"/>
                <c:pt idx="0">
                  <c:v>brancos</c:v>
                </c:pt>
                <c:pt idx="1">
                  <c:v>pardos</c:v>
                </c:pt>
                <c:pt idx="2">
                  <c:v>negros</c:v>
                </c:pt>
                <c:pt idx="3">
                  <c:v>Antecedentes de HAS</c:v>
                </c:pt>
                <c:pt idx="4">
                  <c:v>julgam trabalho estressante</c:v>
                </c:pt>
                <c:pt idx="5">
                  <c:v>alimentação rica em sal</c:v>
                </c:pt>
                <c:pt idx="6">
                  <c:v>sedentários</c:v>
                </c:pt>
                <c:pt idx="7">
                  <c:v>ca  aumentada</c:v>
                </c:pt>
                <c:pt idx="8">
                  <c:v>tabagistas</c:v>
                </c:pt>
                <c:pt idx="9">
                  <c:v>etilistas</c:v>
                </c:pt>
                <c:pt idx="10">
                  <c:v>Uso de anticoncepcional</c:v>
                </c:pt>
                <c:pt idx="11">
                  <c:v>IMC normal</c:v>
                </c:pt>
                <c:pt idx="12">
                  <c:v>sobrepeso</c:v>
                </c:pt>
                <c:pt idx="13">
                  <c:v>obesos.</c:v>
                </c:pt>
              </c:strCache>
            </c:strRef>
          </c:cat>
          <c:val>
            <c:numRef>
              <c:f>Plan1!$D$2:$D$15</c:f>
              <c:numCache>
                <c:formatCode>0.00%</c:formatCode>
                <c:ptCount val="14"/>
                <c:pt idx="0">
                  <c:v>0.24460000000000001</c:v>
                </c:pt>
                <c:pt idx="1">
                  <c:v>0.46950000000000008</c:v>
                </c:pt>
                <c:pt idx="2">
                  <c:v>0.18590000000000104</c:v>
                </c:pt>
                <c:pt idx="3">
                  <c:v>0.75849999999999995</c:v>
                </c:pt>
                <c:pt idx="4">
                  <c:v>0.39300000000000213</c:v>
                </c:pt>
                <c:pt idx="5">
                  <c:v>0.5151</c:v>
                </c:pt>
                <c:pt idx="6">
                  <c:v>0.87940000000000063</c:v>
                </c:pt>
                <c:pt idx="7">
                  <c:v>0.5151</c:v>
                </c:pt>
                <c:pt idx="8">
                  <c:v>0.3028000000000019</c:v>
                </c:pt>
                <c:pt idx="9">
                  <c:v>0.3028000000000019</c:v>
                </c:pt>
                <c:pt idx="10">
                  <c:v>0.11119999999999998</c:v>
                </c:pt>
                <c:pt idx="11">
                  <c:v>0.5151</c:v>
                </c:pt>
                <c:pt idx="12">
                  <c:v>0.3028000000000019</c:v>
                </c:pt>
                <c:pt idx="13">
                  <c:v>0.18210000000000001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630528"/>
        <c:axId val="241840128"/>
      </c:barChart>
      <c:catAx>
        <c:axId val="2326305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pt-BR"/>
          </a:p>
        </c:txPr>
        <c:crossAx val="241840128"/>
        <c:crosses val="autoZero"/>
        <c:auto val="1"/>
        <c:lblAlgn val="ctr"/>
        <c:lblOffset val="100"/>
        <c:noMultiLvlLbl val="0"/>
      </c:catAx>
      <c:valAx>
        <c:axId val="24184012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32630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5271</Words>
  <Characters>28465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9107-9612</Company>
  <LinksUpToDate>false</LinksUpToDate>
  <CharactersWithSpaces>33669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ASSISTÊNCIA TÉCNICA</dc:creator>
  <cp:keywords/>
  <dc:description/>
  <cp:lastModifiedBy>Editor Científico</cp:lastModifiedBy>
  <cp:revision>3</cp:revision>
  <dcterms:created xsi:type="dcterms:W3CDTF">2013-06-11T14:16:00Z</dcterms:created>
  <dcterms:modified xsi:type="dcterms:W3CDTF">2013-07-12T14:19:00Z</dcterms:modified>
</cp:coreProperties>
</file>