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B4" w:rsidRPr="00E72E07" w:rsidRDefault="00D623B4" w:rsidP="00E47A70">
      <w:pPr>
        <w:overflowPunct w:val="0"/>
        <w:spacing w:after="0" w:line="0" w:lineRule="atLeast"/>
        <w:jc w:val="center"/>
        <w:rPr>
          <w:rFonts w:ascii="Times New Roman" w:eastAsia="SimSun" w:hAnsi="Times New Roman"/>
          <w:lang w:eastAsia="hi-IN" w:bidi="hi-IN"/>
        </w:rPr>
      </w:pPr>
      <w:r w:rsidRPr="00E72E07">
        <w:rPr>
          <w:rFonts w:ascii="Times New Roman" w:eastAsia="SimSun" w:hAnsi="Times New Roman"/>
          <w:lang w:eastAsia="hi-IN" w:bidi="hi-IN"/>
        </w:rPr>
        <w:t>PERFIL SOCIAL E FUNCIONAL DOS USUÁRIOS DA ESTRA</w:t>
      </w:r>
      <w:r w:rsidR="00E47A70">
        <w:rPr>
          <w:rFonts w:ascii="Times New Roman" w:eastAsia="SimSun" w:hAnsi="Times New Roman"/>
          <w:lang w:eastAsia="hi-IN" w:bidi="hi-IN"/>
        </w:rPr>
        <w:t>TÉGIA SAÚDE DA FAMÍLIA COM AVE</w:t>
      </w:r>
    </w:p>
    <w:p w:rsidR="00D623B4" w:rsidRPr="00E72E07" w:rsidRDefault="00D623B4" w:rsidP="00E47A70">
      <w:pPr>
        <w:overflowPunct w:val="0"/>
        <w:spacing w:after="0" w:line="0" w:lineRule="atLeast"/>
        <w:jc w:val="center"/>
        <w:rPr>
          <w:rFonts w:ascii="Times New Roman" w:eastAsia="SimSun" w:hAnsi="Times New Roman"/>
          <w:lang w:eastAsia="hi-IN" w:bidi="hi-IN"/>
        </w:rPr>
      </w:pPr>
    </w:p>
    <w:p w:rsidR="00D623B4" w:rsidRDefault="00D623B4" w:rsidP="00E47A70">
      <w:pPr>
        <w:overflowPunct w:val="0"/>
        <w:spacing w:after="0" w:line="0" w:lineRule="atLeast"/>
        <w:jc w:val="center"/>
        <w:rPr>
          <w:rFonts w:ascii="Times New Roman" w:eastAsia="Times New Roman" w:hAnsi="Times New Roman"/>
          <w:lang w:val="en-US" w:eastAsia="pt-BR"/>
        </w:rPr>
      </w:pPr>
      <w:r w:rsidRPr="00E72E07">
        <w:rPr>
          <w:rFonts w:ascii="Times New Roman" w:eastAsia="Times New Roman" w:hAnsi="Times New Roman"/>
          <w:lang w:val="en-US" w:eastAsia="pt-BR"/>
        </w:rPr>
        <w:t>PROFILE OF SOCIAL AND FUNCTIONAL OF USERS FAMI</w:t>
      </w:r>
      <w:r w:rsidR="00E47A70">
        <w:rPr>
          <w:rFonts w:ascii="Times New Roman" w:eastAsia="Times New Roman" w:hAnsi="Times New Roman"/>
          <w:lang w:val="en-US" w:eastAsia="pt-BR"/>
        </w:rPr>
        <w:t>LY HEALTH STRATEGY WITH STROKE</w:t>
      </w:r>
    </w:p>
    <w:p w:rsidR="00E47A70" w:rsidRPr="00E72E07" w:rsidRDefault="00E47A70" w:rsidP="00E47A70">
      <w:pPr>
        <w:overflowPunct w:val="0"/>
        <w:spacing w:after="0" w:line="0" w:lineRule="atLeast"/>
        <w:jc w:val="center"/>
        <w:rPr>
          <w:rFonts w:ascii="Times New Roman" w:eastAsia="Times New Roman" w:hAnsi="Times New Roman"/>
          <w:lang w:val="en-US" w:eastAsia="pt-BR"/>
        </w:rPr>
      </w:pPr>
    </w:p>
    <w:p w:rsidR="00D623B4" w:rsidRPr="00E72E07" w:rsidRDefault="00D623B4" w:rsidP="00E47A70">
      <w:pPr>
        <w:pStyle w:val="SemEspaamento"/>
        <w:spacing w:line="360" w:lineRule="auto"/>
        <w:jc w:val="center"/>
        <w:rPr>
          <w:rFonts w:ascii="Times New Roman" w:hAnsi="Times New Roman"/>
          <w:b/>
        </w:rPr>
      </w:pPr>
      <w:proofErr w:type="spellStart"/>
      <w:r w:rsidRPr="00E72E07">
        <w:rPr>
          <w:rFonts w:ascii="Times New Roman" w:hAnsi="Times New Roman"/>
          <w:b/>
        </w:rPr>
        <w:t>Candice</w:t>
      </w:r>
      <w:proofErr w:type="spellEnd"/>
      <w:r w:rsidRPr="00E72E07">
        <w:rPr>
          <w:rFonts w:ascii="Times New Roman" w:hAnsi="Times New Roman"/>
          <w:b/>
        </w:rPr>
        <w:t xml:space="preserve"> Simões Pimenta de Medeiros</w:t>
      </w:r>
      <w:r w:rsidR="00E47A70">
        <w:rPr>
          <w:rFonts w:ascii="Times New Roman" w:hAnsi="Times New Roman"/>
          <w:b/>
        </w:rPr>
        <w:t>;</w:t>
      </w:r>
      <w:r w:rsidRPr="00E72E07">
        <w:rPr>
          <w:rFonts w:ascii="Times New Roman" w:hAnsi="Times New Roman"/>
          <w:b/>
        </w:rPr>
        <w:t xml:space="preserve"> </w:t>
      </w:r>
      <w:proofErr w:type="spellStart"/>
      <w:r w:rsidRPr="00E72E07">
        <w:rPr>
          <w:rFonts w:ascii="Times New Roman" w:hAnsi="Times New Roman"/>
          <w:b/>
        </w:rPr>
        <w:t>Ozair</w:t>
      </w:r>
      <w:proofErr w:type="spellEnd"/>
      <w:r w:rsidRPr="00E72E07">
        <w:rPr>
          <w:rFonts w:ascii="Times New Roman" w:hAnsi="Times New Roman"/>
          <w:b/>
        </w:rPr>
        <w:t xml:space="preserve"> </w:t>
      </w:r>
      <w:proofErr w:type="spellStart"/>
      <w:r w:rsidRPr="00E72E07">
        <w:rPr>
          <w:rFonts w:ascii="Times New Roman" w:hAnsi="Times New Roman"/>
          <w:b/>
        </w:rPr>
        <w:t>Argentille</w:t>
      </w:r>
      <w:proofErr w:type="spellEnd"/>
      <w:r w:rsidRPr="00E72E07">
        <w:rPr>
          <w:rFonts w:ascii="Times New Roman" w:hAnsi="Times New Roman"/>
          <w:b/>
        </w:rPr>
        <w:t xml:space="preserve"> Pereira da Silva</w:t>
      </w:r>
      <w:r w:rsidR="00E47A70">
        <w:rPr>
          <w:rFonts w:ascii="Times New Roman" w:hAnsi="Times New Roman"/>
          <w:b/>
        </w:rPr>
        <w:t xml:space="preserve">; </w:t>
      </w:r>
      <w:proofErr w:type="spellStart"/>
      <w:r w:rsidRPr="00E72E07">
        <w:rPr>
          <w:rFonts w:ascii="Times New Roman" w:hAnsi="Times New Roman"/>
          <w:b/>
        </w:rPr>
        <w:t>Jusciele</w:t>
      </w:r>
      <w:proofErr w:type="spellEnd"/>
      <w:r w:rsidRPr="00E72E07">
        <w:rPr>
          <w:rFonts w:ascii="Times New Roman" w:hAnsi="Times New Roman"/>
          <w:b/>
        </w:rPr>
        <w:t xml:space="preserve"> Bezerra de Araújo</w:t>
      </w:r>
      <w:r w:rsidR="00E47A70">
        <w:rPr>
          <w:rFonts w:ascii="Times New Roman" w:hAnsi="Times New Roman"/>
          <w:b/>
        </w:rPr>
        <w:t xml:space="preserve">; </w:t>
      </w:r>
      <w:r w:rsidRPr="00E72E07">
        <w:rPr>
          <w:rFonts w:ascii="Times New Roman" w:hAnsi="Times New Roman"/>
          <w:b/>
        </w:rPr>
        <w:t>Damião Ernane de Souza</w:t>
      </w:r>
      <w:r w:rsidR="00E47A70">
        <w:rPr>
          <w:rFonts w:ascii="Times New Roman" w:hAnsi="Times New Roman"/>
          <w:b/>
        </w:rPr>
        <w:t xml:space="preserve">; </w:t>
      </w:r>
      <w:proofErr w:type="spellStart"/>
      <w:r w:rsidRPr="00E72E07">
        <w:rPr>
          <w:rFonts w:ascii="Times New Roman" w:hAnsi="Times New Roman"/>
          <w:b/>
        </w:rPr>
        <w:t>Enio</w:t>
      </w:r>
      <w:proofErr w:type="spellEnd"/>
      <w:r w:rsidRPr="00E72E07">
        <w:rPr>
          <w:rFonts w:ascii="Times New Roman" w:hAnsi="Times New Roman"/>
          <w:b/>
        </w:rPr>
        <w:t xml:space="preserve"> Walker Azevedo Cacho</w:t>
      </w:r>
      <w:r w:rsidR="00E47A70">
        <w:rPr>
          <w:rFonts w:ascii="Times New Roman" w:hAnsi="Times New Roman"/>
          <w:b/>
        </w:rPr>
        <w:t>;</w:t>
      </w:r>
      <w:r w:rsidRPr="00E72E07">
        <w:rPr>
          <w:rFonts w:ascii="Times New Roman" w:hAnsi="Times New Roman"/>
          <w:b/>
        </w:rPr>
        <w:t xml:space="preserve"> Roberta de Oliveira Cacho</w:t>
      </w:r>
      <w:r w:rsidR="00E47A70">
        <w:rPr>
          <w:rFonts w:ascii="Times New Roman" w:hAnsi="Times New Roman"/>
          <w:b/>
        </w:rPr>
        <w:t>.</w:t>
      </w:r>
    </w:p>
    <w:p w:rsidR="00E47A70" w:rsidRDefault="00E47A70" w:rsidP="00E47A70">
      <w:pPr>
        <w:pStyle w:val="SemEspaamento"/>
        <w:spacing w:line="360" w:lineRule="auto"/>
        <w:jc w:val="center"/>
        <w:rPr>
          <w:rFonts w:ascii="Times New Roman" w:hAnsi="Times New Roman"/>
          <w:b/>
        </w:rPr>
      </w:pPr>
    </w:p>
    <w:p w:rsidR="00E47A70" w:rsidRDefault="00E47A70" w:rsidP="00E47A70">
      <w:pPr>
        <w:pStyle w:val="SemEspaamento"/>
        <w:spacing w:line="360" w:lineRule="auto"/>
        <w:jc w:val="center"/>
        <w:rPr>
          <w:rFonts w:ascii="Times New Roman" w:hAnsi="Times New Roman"/>
          <w:b/>
        </w:rPr>
      </w:pPr>
      <w:r>
        <w:rPr>
          <w:rFonts w:ascii="Times New Roman" w:hAnsi="Times New Roman"/>
          <w:b/>
        </w:rPr>
        <w:t xml:space="preserve">Medeiros CSP, Silva OAP, </w:t>
      </w:r>
      <w:proofErr w:type="spellStart"/>
      <w:r>
        <w:rPr>
          <w:rFonts w:ascii="Times New Roman" w:hAnsi="Times New Roman"/>
          <w:b/>
        </w:rPr>
        <w:t>Araujo</w:t>
      </w:r>
      <w:proofErr w:type="spellEnd"/>
      <w:r>
        <w:rPr>
          <w:rFonts w:ascii="Times New Roman" w:hAnsi="Times New Roman"/>
          <w:b/>
        </w:rPr>
        <w:t xml:space="preserve"> JB, Souza </w:t>
      </w:r>
      <w:proofErr w:type="gramStart"/>
      <w:r>
        <w:rPr>
          <w:rFonts w:ascii="Times New Roman" w:hAnsi="Times New Roman"/>
          <w:b/>
        </w:rPr>
        <w:t>DE,</w:t>
      </w:r>
      <w:proofErr w:type="gramEnd"/>
      <w:r>
        <w:rPr>
          <w:rFonts w:ascii="Times New Roman" w:hAnsi="Times New Roman"/>
          <w:b/>
        </w:rPr>
        <w:t xml:space="preserve"> Cacho EWA, Cacho RO</w:t>
      </w:r>
    </w:p>
    <w:p w:rsidR="00E47A70" w:rsidRPr="00E72E07" w:rsidRDefault="00E47A70" w:rsidP="00E47A70">
      <w:pPr>
        <w:pStyle w:val="SemEspaamento"/>
        <w:spacing w:line="360" w:lineRule="auto"/>
        <w:jc w:val="center"/>
        <w:rPr>
          <w:rFonts w:ascii="Times New Roman" w:hAnsi="Times New Roman"/>
          <w:b/>
        </w:rPr>
      </w:pPr>
    </w:p>
    <w:p w:rsidR="00D623B4" w:rsidRPr="00E72E07" w:rsidRDefault="00D623B4" w:rsidP="00D623B4">
      <w:pPr>
        <w:pStyle w:val="SemEspaamento"/>
        <w:spacing w:line="360" w:lineRule="auto"/>
        <w:jc w:val="both"/>
        <w:rPr>
          <w:rFonts w:ascii="Times New Roman" w:hAnsi="Times New Roman"/>
          <w:b/>
        </w:rPr>
      </w:pPr>
      <w:r w:rsidRPr="00E72E07">
        <w:rPr>
          <w:rFonts w:ascii="Times New Roman" w:hAnsi="Times New Roman"/>
          <w:b/>
        </w:rPr>
        <w:t xml:space="preserve">RESUMO </w:t>
      </w:r>
    </w:p>
    <w:p w:rsidR="00D623B4" w:rsidRPr="00E72E07" w:rsidRDefault="00E018F9" w:rsidP="00D623B4">
      <w:pPr>
        <w:pStyle w:val="SemEspaamento"/>
        <w:spacing w:line="360" w:lineRule="auto"/>
        <w:jc w:val="both"/>
        <w:rPr>
          <w:rFonts w:ascii="Times New Roman" w:hAnsi="Times New Roman"/>
          <w:color w:val="000000"/>
        </w:rPr>
      </w:pPr>
      <w:r w:rsidRPr="00E72E07">
        <w:rPr>
          <w:rFonts w:ascii="Times New Roman" w:hAnsi="Times New Roman"/>
          <w:b/>
        </w:rPr>
        <w:t>Objetivo:</w:t>
      </w:r>
      <w:r w:rsidRPr="00E72E07">
        <w:rPr>
          <w:rFonts w:ascii="Times New Roman" w:hAnsi="Times New Roman"/>
        </w:rPr>
        <w:t xml:space="preserve"> A</w:t>
      </w:r>
      <w:r w:rsidR="00D623B4" w:rsidRPr="00E72E07">
        <w:rPr>
          <w:rFonts w:ascii="Times New Roman" w:hAnsi="Times New Roman"/>
        </w:rPr>
        <w:t xml:space="preserve">valiar o perfil social e funcional dos usuários de Unidade Básica de Saúde/Estratégia Saúde da Família com Acidente Vascular Encefálico (AVE) em Santa Cruz, município do estado do Rio Grande do Norte. </w:t>
      </w:r>
      <w:r w:rsidRPr="00E72E07">
        <w:rPr>
          <w:rFonts w:ascii="Times New Roman" w:hAnsi="Times New Roman"/>
          <w:b/>
        </w:rPr>
        <w:t>Metodologia:</w:t>
      </w:r>
      <w:r w:rsidRPr="00E72E07">
        <w:rPr>
          <w:rFonts w:ascii="Times New Roman" w:hAnsi="Times New Roman"/>
        </w:rPr>
        <w:t xml:space="preserve"> </w:t>
      </w:r>
      <w:r w:rsidR="00D623B4" w:rsidRPr="00E72E07">
        <w:rPr>
          <w:rFonts w:ascii="Times New Roman" w:hAnsi="Times New Roman"/>
        </w:rPr>
        <w:t>Trata-se de um estudo transversal constituído por 39 indivíduos com diagnóstico clínico de AVE. Foram avaliados</w:t>
      </w:r>
      <w:r w:rsidR="00D623B4" w:rsidRPr="00E72E07">
        <w:rPr>
          <w:rFonts w:ascii="Times New Roman" w:hAnsi="Times New Roman"/>
          <w:color w:val="000000"/>
          <w:shd w:val="clear" w:color="auto" w:fill="F9FBFD"/>
        </w:rPr>
        <w:t xml:space="preserve"> o perfil </w:t>
      </w:r>
      <w:proofErr w:type="spellStart"/>
      <w:r w:rsidR="00D623B4" w:rsidRPr="00E72E07">
        <w:rPr>
          <w:rFonts w:ascii="Times New Roman" w:hAnsi="Times New Roman"/>
          <w:color w:val="000000"/>
          <w:shd w:val="clear" w:color="auto" w:fill="F9FBFD"/>
        </w:rPr>
        <w:t>sociodemográfico</w:t>
      </w:r>
      <w:proofErr w:type="spellEnd"/>
      <w:r w:rsidR="00D623B4" w:rsidRPr="00E72E07">
        <w:rPr>
          <w:rFonts w:ascii="Times New Roman" w:hAnsi="Times New Roman"/>
          <w:color w:val="000000"/>
          <w:shd w:val="clear" w:color="auto" w:fill="F9FBFD"/>
        </w:rPr>
        <w:t xml:space="preserve"> e o comprometimento cognitivo, funcional e sensório – motor através das escalas: Mini Exame do Estado Mental, Medida de Independência Funcional, Escala de Equilíbrio de Berg, Escala de Desempenho Físico de </w:t>
      </w:r>
      <w:proofErr w:type="spellStart"/>
      <w:r w:rsidR="00D623B4" w:rsidRPr="00E72E07">
        <w:rPr>
          <w:rFonts w:ascii="Times New Roman" w:hAnsi="Times New Roman"/>
          <w:color w:val="000000"/>
          <w:shd w:val="clear" w:color="auto" w:fill="F9FBFD"/>
        </w:rPr>
        <w:t>Fugl</w:t>
      </w:r>
      <w:proofErr w:type="spellEnd"/>
      <w:r w:rsidR="00D623B4" w:rsidRPr="00E72E07">
        <w:rPr>
          <w:rFonts w:ascii="Times New Roman" w:hAnsi="Times New Roman"/>
          <w:color w:val="000000"/>
          <w:shd w:val="clear" w:color="auto" w:fill="F9FBFD"/>
        </w:rPr>
        <w:t xml:space="preserve">-Meyer, </w:t>
      </w:r>
      <w:proofErr w:type="spellStart"/>
      <w:r w:rsidR="00D623B4" w:rsidRPr="00E72E07">
        <w:rPr>
          <w:rFonts w:ascii="Times New Roman" w:hAnsi="Times New Roman"/>
          <w:color w:val="000000"/>
          <w:shd w:val="clear" w:color="auto" w:fill="F9FBFD"/>
        </w:rPr>
        <w:t>Timed</w:t>
      </w:r>
      <w:proofErr w:type="spellEnd"/>
      <w:r w:rsidR="00D623B4" w:rsidRPr="00E72E07">
        <w:rPr>
          <w:rFonts w:ascii="Times New Roman" w:hAnsi="Times New Roman"/>
          <w:color w:val="000000"/>
          <w:shd w:val="clear" w:color="auto" w:fill="F9FBFD"/>
        </w:rPr>
        <w:t xml:space="preserve"> </w:t>
      </w:r>
      <w:proofErr w:type="spellStart"/>
      <w:r w:rsidR="00D623B4" w:rsidRPr="00E72E07">
        <w:rPr>
          <w:rFonts w:ascii="Times New Roman" w:hAnsi="Times New Roman"/>
          <w:color w:val="000000"/>
          <w:shd w:val="clear" w:color="auto" w:fill="F9FBFD"/>
        </w:rPr>
        <w:t>Up</w:t>
      </w:r>
      <w:proofErr w:type="spellEnd"/>
      <w:r w:rsidR="00D623B4" w:rsidRPr="00E72E07">
        <w:rPr>
          <w:rFonts w:ascii="Times New Roman" w:hAnsi="Times New Roman"/>
          <w:color w:val="000000"/>
          <w:shd w:val="clear" w:color="auto" w:fill="F9FBFD"/>
        </w:rPr>
        <w:t xml:space="preserve"> </w:t>
      </w:r>
      <w:proofErr w:type="spellStart"/>
      <w:r w:rsidR="00D623B4" w:rsidRPr="00E72E07">
        <w:rPr>
          <w:rFonts w:ascii="Times New Roman" w:hAnsi="Times New Roman"/>
          <w:color w:val="000000"/>
          <w:shd w:val="clear" w:color="auto" w:fill="F9FBFD"/>
        </w:rPr>
        <w:t>and</w:t>
      </w:r>
      <w:proofErr w:type="spellEnd"/>
      <w:r w:rsidR="00D623B4" w:rsidRPr="00E72E07">
        <w:rPr>
          <w:rFonts w:ascii="Times New Roman" w:hAnsi="Times New Roman"/>
          <w:color w:val="000000"/>
          <w:shd w:val="clear" w:color="auto" w:fill="F9FBFD"/>
        </w:rPr>
        <w:t xml:space="preserve"> </w:t>
      </w:r>
      <w:proofErr w:type="gramStart"/>
      <w:r w:rsidR="00D623B4" w:rsidRPr="00E72E07">
        <w:rPr>
          <w:rFonts w:ascii="Times New Roman" w:hAnsi="Times New Roman"/>
          <w:color w:val="000000"/>
          <w:shd w:val="clear" w:color="auto" w:fill="F9FBFD"/>
        </w:rPr>
        <w:t>Go</w:t>
      </w:r>
      <w:proofErr w:type="gramEnd"/>
      <w:r w:rsidR="00D623B4" w:rsidRPr="00E72E07">
        <w:rPr>
          <w:rFonts w:ascii="Times New Roman" w:hAnsi="Times New Roman"/>
          <w:color w:val="000000"/>
          <w:shd w:val="clear" w:color="auto" w:fill="F9FBFD"/>
        </w:rPr>
        <w:t xml:space="preserve"> e a escala de Deambulação Funcional.</w:t>
      </w:r>
      <w:r w:rsidR="00D623B4" w:rsidRPr="00E72E07">
        <w:rPr>
          <w:rStyle w:val="apple-converted-space"/>
          <w:rFonts w:ascii="Times New Roman" w:hAnsi="Times New Roman"/>
          <w:color w:val="000000"/>
          <w:shd w:val="clear" w:color="auto" w:fill="F9FBFD"/>
        </w:rPr>
        <w:t xml:space="preserve">  </w:t>
      </w:r>
      <w:r w:rsidRPr="00E72E07">
        <w:rPr>
          <w:rStyle w:val="apple-converted-space"/>
          <w:rFonts w:ascii="Times New Roman" w:hAnsi="Times New Roman"/>
          <w:b/>
          <w:color w:val="000000"/>
          <w:shd w:val="clear" w:color="auto" w:fill="F9FBFD"/>
        </w:rPr>
        <w:t>Resultados:</w:t>
      </w:r>
      <w:r w:rsidRPr="00E72E07">
        <w:rPr>
          <w:rStyle w:val="apple-converted-space"/>
          <w:rFonts w:ascii="Times New Roman" w:hAnsi="Times New Roman"/>
          <w:color w:val="000000"/>
          <w:shd w:val="clear" w:color="auto" w:fill="F9FBFD"/>
        </w:rPr>
        <w:t xml:space="preserve"> </w:t>
      </w:r>
      <w:r w:rsidR="00D623B4" w:rsidRPr="00E72E07">
        <w:rPr>
          <w:rStyle w:val="apple-converted-space"/>
          <w:rFonts w:ascii="Times New Roman" w:hAnsi="Times New Roman"/>
          <w:color w:val="000000"/>
          <w:shd w:val="clear" w:color="auto" w:fill="F9FBFD"/>
        </w:rPr>
        <w:t>A i</w:t>
      </w:r>
      <w:r w:rsidR="00D623B4" w:rsidRPr="00E72E07">
        <w:rPr>
          <w:rFonts w:ascii="Times New Roman" w:hAnsi="Times New Roman"/>
        </w:rPr>
        <w:t xml:space="preserve">dade média dos sujeitos foi 68,94±14,01 anos onde 56,41% eram mulheres, 58,97% casados, 58,97% pardos, 46,15% analfabetos, 41,03% agricultores, 71,79% aposentados e 84,62%. </w:t>
      </w:r>
      <w:proofErr w:type="gramStart"/>
      <w:r w:rsidR="00D623B4" w:rsidRPr="00E72E07">
        <w:rPr>
          <w:rFonts w:ascii="Times New Roman" w:hAnsi="Times New Roman"/>
        </w:rPr>
        <w:t>residentes</w:t>
      </w:r>
      <w:proofErr w:type="gramEnd"/>
      <w:r w:rsidR="00D623B4" w:rsidRPr="00E72E07">
        <w:rPr>
          <w:rFonts w:ascii="Times New Roman" w:hAnsi="Times New Roman"/>
        </w:rPr>
        <w:t xml:space="preserve"> em casa própria. O hemisfério cerebral esquerdo (56,41%) e o tipo isquêmico (61,54%) mostraram-se mais prevalentes nesta população. </w:t>
      </w:r>
      <w:r w:rsidR="00D623B4" w:rsidRPr="00E72E07">
        <w:rPr>
          <w:rFonts w:ascii="Times New Roman" w:hAnsi="Times New Roman"/>
          <w:color w:val="000000"/>
        </w:rPr>
        <w:t xml:space="preserve">O tempo de lesão após o AVE foi de </w:t>
      </w:r>
      <w:r w:rsidR="00D623B4" w:rsidRPr="00E72E07">
        <w:rPr>
          <w:rFonts w:ascii="Times New Roman" w:hAnsi="Times New Roman"/>
        </w:rPr>
        <w:t>6,7±6,9</w:t>
      </w:r>
      <w:r w:rsidR="00D623B4" w:rsidRPr="00E72E07">
        <w:rPr>
          <w:rFonts w:ascii="Times New Roman" w:hAnsi="Times New Roman"/>
          <w:color w:val="000000"/>
        </w:rPr>
        <w:t xml:space="preserve"> anos, onde 66,67% apresentaram um único evento. 97,4% dos avaliados apresentavam fatores de risco associados, sendo a Hipertensão Arterial Sistêmica (HAS) (74,35%) o de maior destaque.</w:t>
      </w:r>
      <w:r w:rsidRPr="00E72E07">
        <w:rPr>
          <w:rFonts w:ascii="Times New Roman" w:hAnsi="Times New Roman"/>
          <w:color w:val="000000"/>
        </w:rPr>
        <w:t xml:space="preserve"> </w:t>
      </w:r>
      <w:r w:rsidR="00F17123" w:rsidRPr="00C20B98">
        <w:rPr>
          <w:rFonts w:ascii="Times New Roman" w:hAnsi="Times New Roman"/>
          <w:color w:val="000000"/>
        </w:rPr>
        <w:t xml:space="preserve">Observou-se a presença de grave comprometimento cognitivo, maior independência </w:t>
      </w:r>
      <w:proofErr w:type="gramStart"/>
      <w:r w:rsidR="00F17123" w:rsidRPr="00C20B98">
        <w:rPr>
          <w:rFonts w:ascii="Times New Roman" w:hAnsi="Times New Roman"/>
          <w:color w:val="000000"/>
        </w:rPr>
        <w:t>funcional, grave</w:t>
      </w:r>
      <w:proofErr w:type="gramEnd"/>
      <w:r w:rsidR="00F17123" w:rsidRPr="00C20B98">
        <w:rPr>
          <w:rFonts w:ascii="Times New Roman" w:hAnsi="Times New Roman"/>
          <w:color w:val="000000"/>
        </w:rPr>
        <w:t xml:space="preserve"> comprometimento motor, equilíbrio pobre com significativo risco para quedas.</w:t>
      </w:r>
      <w:r w:rsidR="00C20B98">
        <w:rPr>
          <w:rFonts w:ascii="Times New Roman" w:hAnsi="Times New Roman"/>
          <w:color w:val="000000"/>
        </w:rPr>
        <w:t xml:space="preserve"> </w:t>
      </w:r>
      <w:r w:rsidRPr="00C20B98">
        <w:rPr>
          <w:rFonts w:ascii="Times New Roman" w:hAnsi="Times New Roman"/>
          <w:b/>
          <w:color w:val="000000"/>
        </w:rPr>
        <w:t>Conclusão:</w:t>
      </w:r>
      <w:r w:rsidR="00D623B4" w:rsidRPr="00C20B98">
        <w:rPr>
          <w:rFonts w:ascii="Times New Roman" w:hAnsi="Times New Roman"/>
          <w:color w:val="000000"/>
        </w:rPr>
        <w:t xml:space="preserve"> </w:t>
      </w:r>
      <w:r w:rsidR="00C20B98">
        <w:rPr>
          <w:rFonts w:ascii="Times New Roman" w:eastAsia="Times New Roman" w:hAnsi="Times New Roman"/>
          <w:lang w:eastAsia="pt-BR"/>
        </w:rPr>
        <w:t>O</w:t>
      </w:r>
      <w:r w:rsidR="00C20B98" w:rsidRPr="00E72E07">
        <w:rPr>
          <w:rFonts w:ascii="Times New Roman" w:eastAsia="Times New Roman" w:hAnsi="Times New Roman"/>
          <w:lang w:eastAsia="pt-BR"/>
        </w:rPr>
        <w:t xml:space="preserve"> elevado número de acometimento </w:t>
      </w:r>
      <w:proofErr w:type="gramStart"/>
      <w:r w:rsidR="00C20B98" w:rsidRPr="00E72E07">
        <w:rPr>
          <w:rFonts w:ascii="Times New Roman" w:eastAsia="Times New Roman" w:hAnsi="Times New Roman"/>
          <w:lang w:eastAsia="pt-BR"/>
        </w:rPr>
        <w:t>do AVE</w:t>
      </w:r>
      <w:proofErr w:type="gramEnd"/>
      <w:r w:rsidR="00C20B98" w:rsidRPr="00E72E07">
        <w:rPr>
          <w:rFonts w:ascii="Times New Roman" w:eastAsia="Times New Roman" w:hAnsi="Times New Roman"/>
          <w:lang w:eastAsia="pt-BR"/>
        </w:rPr>
        <w:t xml:space="preserve"> </w:t>
      </w:r>
      <w:r w:rsidR="005F14FC">
        <w:rPr>
          <w:rFonts w:ascii="Times New Roman" w:eastAsia="Times New Roman" w:hAnsi="Times New Roman"/>
          <w:lang w:eastAsia="pt-BR"/>
        </w:rPr>
        <w:t>relacionado</w:t>
      </w:r>
      <w:r w:rsidR="00C20B98" w:rsidRPr="00E72E07">
        <w:rPr>
          <w:rFonts w:ascii="Times New Roman" w:eastAsia="Times New Roman" w:hAnsi="Times New Roman"/>
          <w:lang w:eastAsia="pt-BR"/>
        </w:rPr>
        <w:t xml:space="preserve"> com as características epidemiológicas da região </w:t>
      </w:r>
      <w:r w:rsidR="005F14FC">
        <w:rPr>
          <w:rFonts w:ascii="Times New Roman" w:eastAsia="Times New Roman" w:hAnsi="Times New Roman"/>
          <w:lang w:eastAsia="pt-BR"/>
        </w:rPr>
        <w:t>estão</w:t>
      </w:r>
      <w:r w:rsidR="00C20B98" w:rsidRPr="00E72E07">
        <w:rPr>
          <w:rFonts w:ascii="Times New Roman" w:eastAsia="Times New Roman" w:hAnsi="Times New Roman"/>
          <w:lang w:eastAsia="pt-BR"/>
        </w:rPr>
        <w:t xml:space="preserve"> associ</w:t>
      </w:r>
      <w:r w:rsidR="005F14FC">
        <w:rPr>
          <w:rFonts w:ascii="Times New Roman" w:eastAsia="Times New Roman" w:hAnsi="Times New Roman"/>
          <w:lang w:eastAsia="pt-BR"/>
        </w:rPr>
        <w:t>ados</w:t>
      </w:r>
      <w:r w:rsidR="00C20B98" w:rsidRPr="00E72E07">
        <w:rPr>
          <w:rFonts w:ascii="Times New Roman" w:eastAsia="Times New Roman" w:hAnsi="Times New Roman"/>
          <w:lang w:eastAsia="pt-BR"/>
        </w:rPr>
        <w:t xml:space="preserve"> com os déficits funcionais, cognitivos</w:t>
      </w:r>
      <w:r w:rsidR="00C20B98">
        <w:rPr>
          <w:rFonts w:ascii="Times New Roman" w:eastAsia="Times New Roman" w:hAnsi="Times New Roman"/>
          <w:lang w:eastAsia="pt-BR"/>
        </w:rPr>
        <w:t xml:space="preserve"> e sensório motores encontrados </w:t>
      </w:r>
      <w:r w:rsidR="00C20B98" w:rsidRPr="00E72E07">
        <w:rPr>
          <w:rFonts w:ascii="Times New Roman" w:eastAsia="Times New Roman" w:hAnsi="Times New Roman"/>
          <w:lang w:eastAsia="pt-BR"/>
        </w:rPr>
        <w:t>evidencia</w:t>
      </w:r>
      <w:r w:rsidR="00C20B98">
        <w:rPr>
          <w:rFonts w:ascii="Times New Roman" w:eastAsia="Times New Roman" w:hAnsi="Times New Roman"/>
          <w:lang w:eastAsia="pt-BR"/>
        </w:rPr>
        <w:t xml:space="preserve">ndo um </w:t>
      </w:r>
      <w:r w:rsidR="00C20B98" w:rsidRPr="00E72E07">
        <w:rPr>
          <w:rFonts w:ascii="Times New Roman" w:eastAsia="Times New Roman" w:hAnsi="Times New Roman"/>
          <w:lang w:eastAsia="pt-BR"/>
        </w:rPr>
        <w:t>grave problema de saúde pública</w:t>
      </w:r>
      <w:r w:rsidR="00C20B98">
        <w:rPr>
          <w:rFonts w:ascii="Times New Roman" w:eastAsia="Times New Roman" w:hAnsi="Times New Roman"/>
          <w:lang w:eastAsia="pt-BR"/>
        </w:rPr>
        <w:t>.</w:t>
      </w:r>
    </w:p>
    <w:p w:rsidR="00D623B4" w:rsidRPr="00E72E07" w:rsidRDefault="001E43A2" w:rsidP="00D623B4">
      <w:pPr>
        <w:pStyle w:val="SemEspaamento"/>
        <w:spacing w:line="360" w:lineRule="auto"/>
        <w:jc w:val="both"/>
        <w:rPr>
          <w:rFonts w:ascii="Times New Roman" w:eastAsia="Times New Roman" w:hAnsi="Times New Roman"/>
          <w:lang w:eastAsia="pt-BR"/>
        </w:rPr>
      </w:pPr>
      <w:r>
        <w:rPr>
          <w:rFonts w:ascii="Times New Roman" w:hAnsi="Times New Roman"/>
          <w:b/>
          <w:color w:val="000000"/>
        </w:rPr>
        <w:t>Descritores</w:t>
      </w:r>
      <w:r w:rsidR="00D623B4" w:rsidRPr="00E72E07">
        <w:rPr>
          <w:rFonts w:ascii="Times New Roman" w:hAnsi="Times New Roman"/>
          <w:b/>
          <w:color w:val="000000"/>
        </w:rPr>
        <w:t>:</w:t>
      </w:r>
      <w:r w:rsidR="00D623B4" w:rsidRPr="00E72E07">
        <w:rPr>
          <w:rFonts w:ascii="Times New Roman" w:hAnsi="Times New Roman"/>
          <w:color w:val="000000"/>
        </w:rPr>
        <w:t xml:space="preserve"> </w:t>
      </w:r>
      <w:r w:rsidR="00D623B4" w:rsidRPr="00E72E07">
        <w:rPr>
          <w:rFonts w:ascii="Times New Roman" w:eastAsia="Times New Roman" w:hAnsi="Times New Roman"/>
          <w:lang w:eastAsia="pt-BR"/>
        </w:rPr>
        <w:t>Acidente Vascular Encefálico; Epidemiologia; Fatores de risco.</w:t>
      </w:r>
    </w:p>
    <w:p w:rsidR="00D623B4" w:rsidRPr="00E72E07" w:rsidRDefault="00D623B4" w:rsidP="00D623B4">
      <w:pPr>
        <w:pStyle w:val="SemEspaamento"/>
        <w:spacing w:line="360" w:lineRule="auto"/>
        <w:jc w:val="both"/>
        <w:rPr>
          <w:rFonts w:ascii="Times New Roman" w:eastAsia="Times New Roman" w:hAnsi="Times New Roman"/>
          <w:lang w:eastAsia="pt-BR"/>
        </w:rPr>
      </w:pPr>
    </w:p>
    <w:p w:rsidR="00D623B4" w:rsidRPr="00E72E07" w:rsidRDefault="00D623B4" w:rsidP="00D623B4">
      <w:pPr>
        <w:pStyle w:val="SemEspaamento"/>
        <w:spacing w:line="360" w:lineRule="auto"/>
        <w:jc w:val="both"/>
        <w:rPr>
          <w:rFonts w:ascii="Times New Roman" w:eastAsia="Times New Roman" w:hAnsi="Times New Roman"/>
          <w:b/>
          <w:lang w:val="en-US" w:eastAsia="pt-BR"/>
        </w:rPr>
      </w:pPr>
      <w:r w:rsidRPr="00E72E07">
        <w:rPr>
          <w:rFonts w:ascii="Times New Roman" w:eastAsia="Times New Roman" w:hAnsi="Times New Roman"/>
          <w:b/>
          <w:lang w:val="en-US" w:eastAsia="pt-BR"/>
        </w:rPr>
        <w:t xml:space="preserve">ABSTRACT: </w:t>
      </w:r>
    </w:p>
    <w:p w:rsidR="00D623B4" w:rsidRPr="00E72E07" w:rsidRDefault="00D623B4" w:rsidP="00D623B4">
      <w:pPr>
        <w:pStyle w:val="SemEspaamento"/>
        <w:spacing w:line="360" w:lineRule="auto"/>
        <w:jc w:val="both"/>
        <w:rPr>
          <w:rFonts w:ascii="Times New Roman" w:eastAsia="Times New Roman" w:hAnsi="Times New Roman"/>
          <w:b/>
          <w:lang w:val="en-US" w:eastAsia="pt-BR"/>
        </w:rPr>
      </w:pPr>
    </w:p>
    <w:p w:rsidR="00D623B4" w:rsidRPr="00E72E07" w:rsidRDefault="00E018F9" w:rsidP="00D623B4">
      <w:pPr>
        <w:pStyle w:val="SemEspaamento"/>
        <w:spacing w:line="360" w:lineRule="auto"/>
        <w:jc w:val="both"/>
        <w:rPr>
          <w:rFonts w:ascii="Times New Roman" w:eastAsia="Times New Roman" w:hAnsi="Times New Roman"/>
          <w:lang w:val="en-US" w:eastAsia="pt-BR"/>
        </w:rPr>
      </w:pPr>
      <w:r w:rsidRPr="00E72E07">
        <w:rPr>
          <w:rFonts w:ascii="Times New Roman" w:eastAsia="Times New Roman" w:hAnsi="Times New Roman"/>
          <w:b/>
          <w:lang w:val="en-US" w:eastAsia="pt-BR"/>
        </w:rPr>
        <w:t xml:space="preserve">Objective: </w:t>
      </w:r>
      <w:r w:rsidRPr="00E72E07">
        <w:rPr>
          <w:rFonts w:ascii="Times New Roman" w:eastAsia="Times New Roman" w:hAnsi="Times New Roman"/>
          <w:lang w:val="en-US" w:eastAsia="pt-BR"/>
        </w:rPr>
        <w:t>E</w:t>
      </w:r>
      <w:r w:rsidR="00D623B4" w:rsidRPr="00E72E07">
        <w:rPr>
          <w:rFonts w:ascii="Times New Roman" w:eastAsia="Times New Roman" w:hAnsi="Times New Roman"/>
          <w:lang w:val="en-US" w:eastAsia="pt-BR"/>
        </w:rPr>
        <w:t xml:space="preserve">valuate the profile of social and functional users Basic Health Units/Family Health Strategy with stroke in Santa Cruz, </w:t>
      </w:r>
      <w:proofErr w:type="spellStart"/>
      <w:r w:rsidR="00D623B4" w:rsidRPr="00E72E07">
        <w:rPr>
          <w:rFonts w:ascii="Times New Roman" w:eastAsia="Times New Roman" w:hAnsi="Times New Roman"/>
          <w:lang w:val="en-US" w:eastAsia="pt-BR"/>
        </w:rPr>
        <w:t>municipio</w:t>
      </w:r>
      <w:proofErr w:type="spellEnd"/>
      <w:r w:rsidR="00D623B4" w:rsidRPr="00E72E07">
        <w:rPr>
          <w:rFonts w:ascii="Times New Roman" w:eastAsia="Times New Roman" w:hAnsi="Times New Roman"/>
          <w:lang w:val="en-US" w:eastAsia="pt-BR"/>
        </w:rPr>
        <w:t xml:space="preserve"> in the state of Rio Grande do Norte.</w:t>
      </w:r>
      <w:r w:rsidRPr="00E72E07">
        <w:rPr>
          <w:rFonts w:ascii="Times New Roman" w:eastAsia="Times New Roman" w:hAnsi="Times New Roman"/>
          <w:lang w:val="en-US" w:eastAsia="pt-BR"/>
        </w:rPr>
        <w:t xml:space="preserve"> </w:t>
      </w:r>
      <w:r w:rsidRPr="00E72E07">
        <w:rPr>
          <w:rFonts w:ascii="Times New Roman" w:eastAsia="Times New Roman" w:hAnsi="Times New Roman"/>
          <w:b/>
          <w:lang w:val="en-US" w:eastAsia="pt-BR"/>
        </w:rPr>
        <w:t>Methods:</w:t>
      </w:r>
      <w:r w:rsidR="00D623B4" w:rsidRPr="00E72E07">
        <w:rPr>
          <w:rFonts w:ascii="Times New Roman" w:eastAsia="Times New Roman" w:hAnsi="Times New Roman"/>
          <w:lang w:val="en-US" w:eastAsia="pt-BR"/>
        </w:rPr>
        <w:t xml:space="preserve"> It is a transversal study compound 39 patients with clinical diagnosis of stroke. We evaluated the </w:t>
      </w:r>
      <w:proofErr w:type="spellStart"/>
      <w:r w:rsidR="00D623B4" w:rsidRPr="00E72E07">
        <w:rPr>
          <w:rFonts w:ascii="Times New Roman" w:eastAsia="Times New Roman" w:hAnsi="Times New Roman"/>
          <w:lang w:val="en-US" w:eastAsia="pt-BR"/>
        </w:rPr>
        <w:t>sociodemographic</w:t>
      </w:r>
      <w:proofErr w:type="spellEnd"/>
      <w:r w:rsidR="00D623B4" w:rsidRPr="00E72E07">
        <w:rPr>
          <w:rFonts w:ascii="Times New Roman" w:eastAsia="Times New Roman" w:hAnsi="Times New Roman"/>
          <w:lang w:val="en-US" w:eastAsia="pt-BR"/>
        </w:rPr>
        <w:t xml:space="preserve"> </w:t>
      </w:r>
      <w:proofErr w:type="spellStart"/>
      <w:r w:rsidR="00D623B4" w:rsidRPr="00E72E07">
        <w:rPr>
          <w:rFonts w:ascii="Times New Roman" w:eastAsia="Times New Roman" w:hAnsi="Times New Roman"/>
          <w:lang w:val="en-US" w:eastAsia="pt-BR"/>
        </w:rPr>
        <w:t>perfil</w:t>
      </w:r>
      <w:proofErr w:type="spellEnd"/>
      <w:r w:rsidR="00D623B4" w:rsidRPr="00E72E07">
        <w:rPr>
          <w:rFonts w:ascii="Times New Roman" w:eastAsia="Times New Roman" w:hAnsi="Times New Roman"/>
          <w:lang w:val="en-US" w:eastAsia="pt-BR"/>
        </w:rPr>
        <w:t xml:space="preserve"> and cognitive, functional and sensory-motor impairment across the scales: The Mini-Mental State Examination, Functional Independence Measure, Berg Balance Scale, </w:t>
      </w:r>
      <w:proofErr w:type="spellStart"/>
      <w:r w:rsidR="00D623B4" w:rsidRPr="00E72E07">
        <w:rPr>
          <w:rFonts w:ascii="Times New Roman" w:eastAsia="Times New Roman" w:hAnsi="Times New Roman"/>
          <w:lang w:val="en-US" w:eastAsia="pt-BR"/>
        </w:rPr>
        <w:t>Fugl</w:t>
      </w:r>
      <w:proofErr w:type="spellEnd"/>
      <w:r w:rsidR="00D623B4" w:rsidRPr="00E72E07">
        <w:rPr>
          <w:rFonts w:ascii="Times New Roman" w:eastAsia="Times New Roman" w:hAnsi="Times New Roman"/>
          <w:lang w:val="en-US" w:eastAsia="pt-BR"/>
        </w:rPr>
        <w:t xml:space="preserve">-Meyer Assessment of Sensorimotor Impairment, Timed Up and Go and Functional Ambulation </w:t>
      </w:r>
      <w:r w:rsidR="00D623B4" w:rsidRPr="00E72E07">
        <w:rPr>
          <w:rFonts w:ascii="Times New Roman" w:eastAsia="Times New Roman" w:hAnsi="Times New Roman"/>
          <w:lang w:val="en-US" w:eastAsia="pt-BR"/>
        </w:rPr>
        <w:lastRenderedPageBreak/>
        <w:t xml:space="preserve">Category Scale. </w:t>
      </w:r>
      <w:r w:rsidRPr="00E72E07">
        <w:rPr>
          <w:rFonts w:ascii="Times New Roman" w:eastAsia="Times New Roman" w:hAnsi="Times New Roman"/>
          <w:b/>
          <w:lang w:val="en-US" w:eastAsia="pt-BR"/>
        </w:rPr>
        <w:t>Results:</w:t>
      </w:r>
      <w:r w:rsidRPr="00E72E07">
        <w:rPr>
          <w:rFonts w:ascii="Times New Roman" w:eastAsia="Times New Roman" w:hAnsi="Times New Roman"/>
          <w:lang w:val="en-US" w:eastAsia="pt-BR"/>
        </w:rPr>
        <w:t xml:space="preserve"> </w:t>
      </w:r>
      <w:r w:rsidR="00D623B4" w:rsidRPr="00E72E07">
        <w:rPr>
          <w:rFonts w:ascii="Times New Roman" w:eastAsia="Times New Roman" w:hAnsi="Times New Roman"/>
          <w:lang w:val="en-US" w:eastAsia="pt-BR"/>
        </w:rPr>
        <w:t xml:space="preserve">Average age of patients was about 68.94 ± 14.01 years where 56.41% were women, 58.97% were married, 58.97% were mulatto, 46.15% were illiterate,  41.03% were farmers, 71.79% were retirees and 84.62% lived in their own home. The left cerebral hemisphere (56.41%) and ischemic type (61.54%) were more prevalent in this population. The injury time after stroke was 6.7 ± 6.9 years, where 66.67% had </w:t>
      </w:r>
      <w:proofErr w:type="gramStart"/>
      <w:r w:rsidR="00D623B4" w:rsidRPr="00E72E07">
        <w:rPr>
          <w:rFonts w:ascii="Times New Roman" w:eastAsia="Times New Roman" w:hAnsi="Times New Roman"/>
          <w:lang w:val="en-US" w:eastAsia="pt-BR"/>
        </w:rPr>
        <w:t>a</w:t>
      </w:r>
      <w:proofErr w:type="gramEnd"/>
      <w:r w:rsidR="00D623B4" w:rsidRPr="00E72E07">
        <w:rPr>
          <w:rFonts w:ascii="Times New Roman" w:eastAsia="Times New Roman" w:hAnsi="Times New Roman"/>
          <w:lang w:val="en-US" w:eastAsia="pt-BR"/>
        </w:rPr>
        <w:t xml:space="preserve"> only event. 97.4% of the individuals had risk factors associated where the Hypertension (HAS) (74.35%), had the bigger prominence. </w:t>
      </w:r>
      <w:r w:rsidR="00C20B98" w:rsidRPr="00E72E07">
        <w:rPr>
          <w:rFonts w:ascii="Times New Roman" w:eastAsia="Times New Roman" w:hAnsi="Times New Roman"/>
          <w:lang w:val="en-US" w:eastAsia="pt-BR"/>
        </w:rPr>
        <w:t>We observed the presence of severe cognitive impairment, bigger functional independence, severe motor impairment, poor balance with significant risk for fall.</w:t>
      </w:r>
      <w:r w:rsidR="00C20B98">
        <w:rPr>
          <w:rFonts w:ascii="Times New Roman" w:eastAsia="Times New Roman" w:hAnsi="Times New Roman"/>
          <w:lang w:val="en-US" w:eastAsia="pt-BR"/>
        </w:rPr>
        <w:t xml:space="preserve"> </w:t>
      </w:r>
      <w:r w:rsidRPr="00E72E07">
        <w:rPr>
          <w:rFonts w:ascii="Times New Roman" w:eastAsia="Times New Roman" w:hAnsi="Times New Roman"/>
          <w:b/>
          <w:lang w:val="en-US" w:eastAsia="pt-BR"/>
        </w:rPr>
        <w:t>Conclusion:</w:t>
      </w:r>
      <w:r w:rsidRPr="00E72E07">
        <w:rPr>
          <w:rFonts w:ascii="Times New Roman" w:eastAsia="Times New Roman" w:hAnsi="Times New Roman"/>
          <w:lang w:val="en-US" w:eastAsia="pt-BR"/>
        </w:rPr>
        <w:t xml:space="preserve"> </w:t>
      </w:r>
      <w:r w:rsidR="005F14FC">
        <w:rPr>
          <w:rFonts w:ascii="Times New Roman" w:eastAsia="Times New Roman" w:hAnsi="Times New Roman"/>
          <w:lang w:val="en-US" w:eastAsia="pt-BR"/>
        </w:rPr>
        <w:t>T</w:t>
      </w:r>
      <w:r w:rsidR="005F14FC" w:rsidRPr="005F14FC">
        <w:rPr>
          <w:rFonts w:ascii="Times New Roman" w:eastAsia="Times New Roman" w:hAnsi="Times New Roman"/>
          <w:lang w:val="en-US" w:eastAsia="pt-BR"/>
        </w:rPr>
        <w:t>he high number the stroke involvement related with the epidemiological characteristics of the region is associated with functional deficits, cognitive and sensory motor found showing a serious public health problem.</w:t>
      </w:r>
    </w:p>
    <w:p w:rsidR="00D623B4" w:rsidRPr="00E72E07" w:rsidRDefault="001E43A2" w:rsidP="00D623B4">
      <w:pPr>
        <w:pStyle w:val="SemEspaamento"/>
        <w:spacing w:line="360" w:lineRule="auto"/>
        <w:jc w:val="both"/>
        <w:rPr>
          <w:rFonts w:ascii="Times New Roman" w:hAnsi="Times New Roman"/>
          <w:color w:val="000000"/>
          <w:lang w:val="en-US"/>
        </w:rPr>
      </w:pPr>
      <w:r>
        <w:rPr>
          <w:rFonts w:ascii="Times New Roman" w:eastAsia="Times New Roman" w:hAnsi="Times New Roman"/>
          <w:b/>
          <w:lang w:val="en-US" w:eastAsia="pt-BR"/>
        </w:rPr>
        <w:t>Descriptors</w:t>
      </w:r>
      <w:r w:rsidR="00D623B4" w:rsidRPr="00E72E07">
        <w:rPr>
          <w:rFonts w:ascii="Times New Roman" w:eastAsia="Times New Roman" w:hAnsi="Times New Roman"/>
          <w:b/>
          <w:lang w:val="en-US" w:eastAsia="pt-BR"/>
        </w:rPr>
        <w:t>:</w:t>
      </w:r>
      <w:r w:rsidR="00D623B4" w:rsidRPr="00E72E07">
        <w:rPr>
          <w:rFonts w:ascii="Times New Roman" w:eastAsia="Times New Roman" w:hAnsi="Times New Roman"/>
          <w:lang w:val="en-US" w:eastAsia="pt-BR"/>
        </w:rPr>
        <w:t xml:space="preserve"> Stroke; Epidemiology; Risk Factors.</w:t>
      </w:r>
    </w:p>
    <w:p w:rsidR="00D623B4" w:rsidRPr="00E72E07" w:rsidRDefault="00D623B4" w:rsidP="00D623B4">
      <w:pPr>
        <w:pStyle w:val="SemEspaamento"/>
        <w:spacing w:line="360" w:lineRule="auto"/>
        <w:jc w:val="both"/>
        <w:rPr>
          <w:rFonts w:ascii="Times New Roman" w:hAnsi="Times New Roman"/>
          <w:b/>
          <w:lang w:val="en-US"/>
        </w:rPr>
      </w:pPr>
    </w:p>
    <w:p w:rsidR="00D623B4" w:rsidRDefault="00D623B4" w:rsidP="00D623B4">
      <w:pPr>
        <w:pStyle w:val="SemEspaamento"/>
        <w:spacing w:line="360" w:lineRule="auto"/>
        <w:jc w:val="both"/>
        <w:rPr>
          <w:rFonts w:ascii="Times New Roman" w:hAnsi="Times New Roman"/>
          <w:b/>
        </w:rPr>
      </w:pPr>
      <w:r w:rsidRPr="00E72E07">
        <w:rPr>
          <w:rFonts w:ascii="Times New Roman" w:hAnsi="Times New Roman"/>
          <w:b/>
        </w:rPr>
        <w:t>INTRODUÇÃO</w:t>
      </w:r>
    </w:p>
    <w:p w:rsidR="00E47A70" w:rsidRPr="00E72E07" w:rsidRDefault="00E47A70" w:rsidP="00D623B4">
      <w:pPr>
        <w:pStyle w:val="SemEspaamento"/>
        <w:spacing w:line="360" w:lineRule="auto"/>
        <w:jc w:val="both"/>
        <w:rPr>
          <w:rFonts w:ascii="Times New Roman" w:hAnsi="Times New Roman"/>
          <w:b/>
        </w:rPr>
      </w:pPr>
    </w:p>
    <w:p w:rsidR="00D623B4" w:rsidRPr="00E72E07" w:rsidRDefault="00D623B4" w:rsidP="00D623B4">
      <w:pPr>
        <w:pStyle w:val="SemEspaamento"/>
        <w:spacing w:line="360" w:lineRule="auto"/>
        <w:ind w:firstLine="708"/>
        <w:jc w:val="both"/>
        <w:rPr>
          <w:rFonts w:ascii="Times New Roman" w:hAnsi="Times New Roman"/>
        </w:rPr>
      </w:pPr>
      <w:r w:rsidRPr="00E72E07">
        <w:rPr>
          <w:rFonts w:ascii="Times New Roman" w:hAnsi="Times New Roman"/>
        </w:rPr>
        <w:t xml:space="preserve">O Acidente Vascular Encefálico (AVE) corresponde a uma disfunção neurológica aguda, de origem vascular, causada por uma interrupção do fluxo sanguíneo para áreas focais do encéfalo, podendo ocorrer na sua </w:t>
      </w:r>
      <w:r w:rsidR="00F17123">
        <w:rPr>
          <w:rFonts w:ascii="Times New Roman" w:hAnsi="Times New Roman"/>
        </w:rPr>
        <w:t>forma isquêmica ou hemorrágica</w:t>
      </w:r>
      <w:r w:rsidRPr="00F17123">
        <w:rPr>
          <w:rFonts w:ascii="Times New Roman" w:hAnsi="Times New Roman"/>
          <w:vertAlign w:val="superscript"/>
        </w:rPr>
        <w:t>1</w:t>
      </w:r>
      <w:r w:rsidRPr="00E72E07">
        <w:rPr>
          <w:rFonts w:ascii="Times New Roman" w:hAnsi="Times New Roman"/>
        </w:rPr>
        <w:t xml:space="preserve">. </w:t>
      </w:r>
      <w:proofErr w:type="gramStart"/>
      <w:r w:rsidRPr="00E72E07">
        <w:rPr>
          <w:rFonts w:ascii="Times New Roman" w:hAnsi="Times New Roman"/>
        </w:rPr>
        <w:t>O AVE</w:t>
      </w:r>
      <w:proofErr w:type="gramEnd"/>
      <w:r w:rsidRPr="00E72E07">
        <w:rPr>
          <w:rFonts w:ascii="Times New Roman" w:hAnsi="Times New Roman"/>
        </w:rPr>
        <w:t xml:space="preserve"> isquêmico é decorrente da insuficiência de suprimento sanguíneo cerebral ocasionado principalmen</w:t>
      </w:r>
      <w:r w:rsidR="00B36316">
        <w:rPr>
          <w:rFonts w:ascii="Times New Roman" w:hAnsi="Times New Roman"/>
        </w:rPr>
        <w:t>te por placas ateroscleróticas</w:t>
      </w:r>
      <w:r w:rsidRPr="00E72E07">
        <w:rPr>
          <w:rFonts w:ascii="Times New Roman" w:hAnsi="Times New Roman"/>
        </w:rPr>
        <w:t>; já o evento hemorrágico tem a</w:t>
      </w:r>
      <w:r w:rsidRPr="00E72E07">
        <w:rPr>
          <w:rFonts w:ascii="Times New Roman" w:hAnsi="Times New Roman"/>
          <w:shd w:val="clear" w:color="auto" w:fill="F9FBFD"/>
        </w:rPr>
        <w:t xml:space="preserve"> hemorragia hipertensiva como causa mais comum de lesão, seguida dos aneurismas saculares e malfo</w:t>
      </w:r>
      <w:r w:rsidR="00F17123">
        <w:rPr>
          <w:rFonts w:ascii="Times New Roman" w:hAnsi="Times New Roman"/>
          <w:shd w:val="clear" w:color="auto" w:fill="F9FBFD"/>
        </w:rPr>
        <w:t>rmações arteriovenosas (</w:t>
      </w:r>
      <w:proofErr w:type="spellStart"/>
      <w:r w:rsidR="00F17123">
        <w:rPr>
          <w:rFonts w:ascii="Times New Roman" w:hAnsi="Times New Roman"/>
          <w:shd w:val="clear" w:color="auto" w:fill="F9FBFD"/>
        </w:rPr>
        <w:t>MAV’s</w:t>
      </w:r>
      <w:proofErr w:type="spellEnd"/>
      <w:r w:rsidR="00F17123">
        <w:rPr>
          <w:rFonts w:ascii="Times New Roman" w:hAnsi="Times New Roman"/>
          <w:shd w:val="clear" w:color="auto" w:fill="F9FBFD"/>
        </w:rPr>
        <w:t>)</w:t>
      </w:r>
      <w:r w:rsidR="00B36316" w:rsidRPr="00F17123">
        <w:rPr>
          <w:rFonts w:ascii="Times New Roman" w:hAnsi="Times New Roman"/>
          <w:shd w:val="clear" w:color="auto" w:fill="F9FBFD"/>
          <w:vertAlign w:val="superscript"/>
        </w:rPr>
        <w:t>2</w:t>
      </w:r>
      <w:r w:rsidRPr="00E72E07">
        <w:rPr>
          <w:rFonts w:ascii="Times New Roman" w:hAnsi="Times New Roman"/>
          <w:shd w:val="clear" w:color="auto" w:fill="F9FBFD"/>
        </w:rPr>
        <w:t>.</w:t>
      </w:r>
      <w:r w:rsidRPr="00E72E07">
        <w:rPr>
          <w:rFonts w:ascii="Times New Roman" w:hAnsi="Times New Roman"/>
        </w:rPr>
        <w:t xml:space="preserve"> Por se tratar de uma das principais causas de </w:t>
      </w:r>
      <w:proofErr w:type="spellStart"/>
      <w:r w:rsidRPr="00E72E07">
        <w:rPr>
          <w:rFonts w:ascii="Times New Roman" w:hAnsi="Times New Roman"/>
        </w:rPr>
        <w:t>morbi-mortalidade</w:t>
      </w:r>
      <w:proofErr w:type="spellEnd"/>
      <w:r w:rsidRPr="00E72E07">
        <w:rPr>
          <w:rFonts w:ascii="Times New Roman" w:hAnsi="Times New Roman"/>
        </w:rPr>
        <w:t xml:space="preserve"> no mundo, além de proporcionar incapacidades motoras e cognitivas, o AVE é uma doença comum e de grande i</w:t>
      </w:r>
      <w:r w:rsidR="00F17123">
        <w:rPr>
          <w:rFonts w:ascii="Times New Roman" w:hAnsi="Times New Roman"/>
        </w:rPr>
        <w:t xml:space="preserve">mpacto na saúde </w:t>
      </w:r>
      <w:proofErr w:type="gramStart"/>
      <w:r w:rsidR="00F17123">
        <w:rPr>
          <w:rFonts w:ascii="Times New Roman" w:hAnsi="Times New Roman"/>
        </w:rPr>
        <w:t>pública</w:t>
      </w:r>
      <w:r w:rsidR="00F17123">
        <w:rPr>
          <w:rFonts w:ascii="Times New Roman" w:hAnsi="Times New Roman"/>
          <w:vertAlign w:val="superscript"/>
        </w:rPr>
        <w:t>3,</w:t>
      </w:r>
      <w:proofErr w:type="gramEnd"/>
      <w:r w:rsidR="00BB362E" w:rsidRPr="00F17123">
        <w:rPr>
          <w:rFonts w:ascii="Times New Roman" w:hAnsi="Times New Roman"/>
          <w:vertAlign w:val="superscript"/>
        </w:rPr>
        <w:t>4</w:t>
      </w:r>
      <w:r w:rsidRPr="00E72E07">
        <w:rPr>
          <w:rFonts w:ascii="Times New Roman" w:hAnsi="Times New Roman"/>
        </w:rPr>
        <w:t>.</w:t>
      </w:r>
    </w:p>
    <w:p w:rsidR="0029006D" w:rsidRDefault="00D623B4" w:rsidP="00D623B4">
      <w:pPr>
        <w:pStyle w:val="SemEspaamento"/>
        <w:spacing w:line="360" w:lineRule="auto"/>
        <w:ind w:firstLine="708"/>
        <w:jc w:val="both"/>
        <w:rPr>
          <w:rFonts w:ascii="Times New Roman" w:hAnsi="Times New Roman"/>
          <w:shd w:val="clear" w:color="auto" w:fill="FFFFFF"/>
        </w:rPr>
      </w:pPr>
      <w:r w:rsidRPr="00E72E07">
        <w:rPr>
          <w:rFonts w:ascii="Times New Roman" w:hAnsi="Times New Roman"/>
          <w:shd w:val="clear" w:color="auto" w:fill="FFFFFF"/>
        </w:rPr>
        <w:t>As crescentes mudanças no estilo e expectativa de vida associadas com o aumento dos fatores de risco para as doenças cerebrovasculares</w:t>
      </w:r>
      <w:r w:rsidRPr="00E72E07">
        <w:rPr>
          <w:rFonts w:ascii="Times New Roman" w:hAnsi="Times New Roman"/>
        </w:rPr>
        <w:t xml:space="preserve"> podem servir como justificativa p</w:t>
      </w:r>
      <w:r w:rsidR="00F17123">
        <w:rPr>
          <w:rFonts w:ascii="Times New Roman" w:hAnsi="Times New Roman"/>
        </w:rPr>
        <w:t>ara a grande incidência do AVE</w:t>
      </w:r>
      <w:r w:rsidR="00BB362E" w:rsidRPr="00F17123">
        <w:rPr>
          <w:rFonts w:ascii="Times New Roman" w:hAnsi="Times New Roman"/>
          <w:vertAlign w:val="superscript"/>
        </w:rPr>
        <w:t>5-7</w:t>
      </w:r>
      <w:r w:rsidRPr="00E72E07">
        <w:rPr>
          <w:rFonts w:ascii="Times New Roman" w:hAnsi="Times New Roman"/>
        </w:rPr>
        <w:t xml:space="preserve">. </w:t>
      </w:r>
      <w:r w:rsidR="0029006D">
        <w:rPr>
          <w:rFonts w:ascii="Times New Roman" w:hAnsi="Times New Roman"/>
          <w:color w:val="000000"/>
        </w:rPr>
        <w:t xml:space="preserve">O conhecimento e percepção </w:t>
      </w:r>
      <w:r w:rsidRPr="00E72E07">
        <w:rPr>
          <w:rFonts w:ascii="Times New Roman" w:hAnsi="Times New Roman"/>
          <w:color w:val="000000"/>
        </w:rPr>
        <w:t xml:space="preserve">dos fatores de risco são medidas essenciais para se </w:t>
      </w:r>
      <w:proofErr w:type="gramStart"/>
      <w:r w:rsidRPr="00E72E07">
        <w:rPr>
          <w:rFonts w:ascii="Times New Roman" w:hAnsi="Times New Roman"/>
          <w:color w:val="000000"/>
        </w:rPr>
        <w:t>obter</w:t>
      </w:r>
      <w:proofErr w:type="gramEnd"/>
      <w:r w:rsidRPr="00E72E07">
        <w:rPr>
          <w:rFonts w:ascii="Times New Roman" w:hAnsi="Times New Roman"/>
          <w:color w:val="000000"/>
        </w:rPr>
        <w:t xml:space="preserve"> um maior controle da doença e melho</w:t>
      </w:r>
      <w:r w:rsidR="00F17123">
        <w:rPr>
          <w:rFonts w:ascii="Times New Roman" w:hAnsi="Times New Roman"/>
          <w:color w:val="000000"/>
        </w:rPr>
        <w:t>r adesão a medidas preventivas</w:t>
      </w:r>
      <w:r w:rsidR="00BB362E" w:rsidRPr="00F17123">
        <w:rPr>
          <w:rFonts w:ascii="Times New Roman" w:hAnsi="Times New Roman"/>
          <w:color w:val="000000"/>
          <w:vertAlign w:val="superscript"/>
        </w:rPr>
        <w:t>8</w:t>
      </w:r>
      <w:r w:rsidRPr="00E72E07">
        <w:rPr>
          <w:rFonts w:ascii="Times New Roman" w:hAnsi="Times New Roman"/>
          <w:color w:val="000000"/>
        </w:rPr>
        <w:t>.</w:t>
      </w:r>
      <w:r w:rsidRPr="00E72E07">
        <w:rPr>
          <w:rFonts w:ascii="Times New Roman" w:hAnsi="Times New Roman"/>
          <w:shd w:val="clear" w:color="auto" w:fill="FFFFFF"/>
        </w:rPr>
        <w:t xml:space="preserve"> </w:t>
      </w:r>
    </w:p>
    <w:p w:rsidR="00D623B4" w:rsidRPr="00E72E07" w:rsidRDefault="0029006D" w:rsidP="00F17123">
      <w:pPr>
        <w:pStyle w:val="SemEspaamento"/>
        <w:spacing w:line="360" w:lineRule="auto"/>
        <w:ind w:firstLine="708"/>
        <w:jc w:val="both"/>
        <w:rPr>
          <w:rFonts w:ascii="Times New Roman" w:hAnsi="Times New Roman"/>
          <w:color w:val="000000"/>
        </w:rPr>
      </w:pPr>
      <w:r>
        <w:rPr>
          <w:rFonts w:ascii="Times New Roman" w:hAnsi="Times New Roman"/>
          <w:shd w:val="clear" w:color="auto" w:fill="FFFFFF"/>
        </w:rPr>
        <w:t>Os</w:t>
      </w:r>
      <w:r w:rsidR="00F17123">
        <w:rPr>
          <w:rFonts w:ascii="Times New Roman" w:hAnsi="Times New Roman"/>
          <w:shd w:val="clear" w:color="auto" w:fill="FFFFFF"/>
        </w:rPr>
        <w:t xml:space="preserve"> autores</w:t>
      </w:r>
      <w:r w:rsidR="00BB362E" w:rsidRPr="00F17123">
        <w:rPr>
          <w:rFonts w:ascii="Times New Roman" w:hAnsi="Times New Roman"/>
          <w:shd w:val="clear" w:color="auto" w:fill="FFFFFF"/>
          <w:vertAlign w:val="superscript"/>
        </w:rPr>
        <w:t>9</w:t>
      </w:r>
      <w:r w:rsidR="00D623B4" w:rsidRPr="00E72E07">
        <w:rPr>
          <w:rFonts w:ascii="Times New Roman" w:hAnsi="Times New Roman"/>
          <w:shd w:val="clear" w:color="auto" w:fill="FFFFFF"/>
        </w:rPr>
        <w:t xml:space="preserve"> mostram que </w:t>
      </w:r>
      <w:r w:rsidR="00D623B4" w:rsidRPr="00E72E07">
        <w:rPr>
          <w:rFonts w:ascii="Times New Roman" w:hAnsi="Times New Roman"/>
        </w:rPr>
        <w:t xml:space="preserve">os principais fatores de risco que podem aumentar a propensão </w:t>
      </w:r>
      <w:proofErr w:type="gramStart"/>
      <w:r w:rsidR="00D623B4" w:rsidRPr="00E72E07">
        <w:rPr>
          <w:rFonts w:ascii="Times New Roman" w:hAnsi="Times New Roman"/>
        </w:rPr>
        <w:t>ao AVE</w:t>
      </w:r>
      <w:proofErr w:type="gramEnd"/>
      <w:r w:rsidR="00D623B4" w:rsidRPr="00E72E07">
        <w:rPr>
          <w:rFonts w:ascii="Times New Roman" w:hAnsi="Times New Roman"/>
        </w:rPr>
        <w:t xml:space="preserve"> são os altos perfis lipídicos, diabetes mel</w:t>
      </w:r>
      <w:r w:rsidR="007132C3">
        <w:rPr>
          <w:rFonts w:ascii="Times New Roman" w:hAnsi="Times New Roman"/>
        </w:rPr>
        <w:t>l</w:t>
      </w:r>
      <w:r w:rsidR="00D623B4" w:rsidRPr="00E72E07">
        <w:rPr>
          <w:rFonts w:ascii="Times New Roman" w:hAnsi="Times New Roman"/>
        </w:rPr>
        <w:t>it</w:t>
      </w:r>
      <w:r w:rsidR="007132C3">
        <w:rPr>
          <w:rFonts w:ascii="Times New Roman" w:hAnsi="Times New Roman"/>
        </w:rPr>
        <w:t>us</w:t>
      </w:r>
      <w:r w:rsidR="00D623B4" w:rsidRPr="00E72E07">
        <w:rPr>
          <w:rFonts w:ascii="Times New Roman" w:hAnsi="Times New Roman"/>
        </w:rPr>
        <w:t>, sobrepeso e obesidade, além do tabagismo e sedentarismo. Um estudo realizado em</w:t>
      </w:r>
      <w:r w:rsidR="00D623B4" w:rsidRPr="00E72E07">
        <w:rPr>
          <w:rFonts w:ascii="Times New Roman" w:hAnsi="Times New Roman"/>
          <w:shd w:val="clear" w:color="auto" w:fill="FFFFFF"/>
        </w:rPr>
        <w:t xml:space="preserve"> </w:t>
      </w:r>
      <w:proofErr w:type="spellStart"/>
      <w:r w:rsidR="00D623B4" w:rsidRPr="00E72E07">
        <w:rPr>
          <w:rFonts w:ascii="Times New Roman" w:hAnsi="Times New Roman"/>
          <w:shd w:val="clear" w:color="auto" w:fill="FFFFFF"/>
        </w:rPr>
        <w:t>Fortaleza-CE</w:t>
      </w:r>
      <w:proofErr w:type="spellEnd"/>
      <w:r w:rsidR="00D623B4" w:rsidRPr="00E72E07">
        <w:rPr>
          <w:rFonts w:ascii="Times New Roman" w:hAnsi="Times New Roman"/>
          <w:shd w:val="clear" w:color="auto" w:fill="FFFFFF"/>
        </w:rPr>
        <w:t xml:space="preserve"> mostrou que 77,2% dos pacientes com AVE eram hipertensos, 23,5% diabéticos, 3,9%</w:t>
      </w:r>
      <w:r w:rsidR="00F17123">
        <w:rPr>
          <w:rFonts w:ascii="Times New Roman" w:hAnsi="Times New Roman"/>
          <w:shd w:val="clear" w:color="auto" w:fill="FFFFFF"/>
        </w:rPr>
        <w:t xml:space="preserve"> tabagistas e 21,2% etilistas</w:t>
      </w:r>
      <w:r w:rsidR="00BB362E" w:rsidRPr="00F17123">
        <w:rPr>
          <w:rFonts w:ascii="Times New Roman" w:hAnsi="Times New Roman"/>
          <w:shd w:val="clear" w:color="auto" w:fill="FFFFFF"/>
          <w:vertAlign w:val="superscript"/>
        </w:rPr>
        <w:t>6</w:t>
      </w:r>
      <w:r w:rsidR="00D623B4" w:rsidRPr="00E72E07">
        <w:rPr>
          <w:rFonts w:ascii="Times New Roman" w:hAnsi="Times New Roman"/>
          <w:shd w:val="clear" w:color="auto" w:fill="FFFFFF"/>
        </w:rPr>
        <w:t>.</w:t>
      </w:r>
      <w:r w:rsidR="00D623B4" w:rsidRPr="00E72E07">
        <w:rPr>
          <w:rFonts w:ascii="Times New Roman" w:hAnsi="Times New Roman"/>
        </w:rPr>
        <w:t xml:space="preserve"> </w:t>
      </w:r>
      <w:r>
        <w:rPr>
          <w:rFonts w:ascii="Times New Roman" w:hAnsi="Times New Roman"/>
          <w:shd w:val="clear" w:color="auto" w:fill="FFFFFF"/>
        </w:rPr>
        <w:t>Em</w:t>
      </w:r>
      <w:r w:rsidR="00D623B4" w:rsidRPr="00E72E07">
        <w:rPr>
          <w:rFonts w:ascii="Times New Roman" w:hAnsi="Times New Roman"/>
          <w:shd w:val="clear" w:color="auto" w:fill="FFFFFF"/>
        </w:rPr>
        <w:t xml:space="preserve"> Caxias do Sul – RS</w:t>
      </w:r>
      <w:proofErr w:type="gramStart"/>
      <w:r>
        <w:rPr>
          <w:rFonts w:ascii="Times New Roman" w:hAnsi="Times New Roman"/>
          <w:shd w:val="clear" w:color="auto" w:fill="FFFFFF"/>
        </w:rPr>
        <w:t>,</w:t>
      </w:r>
      <w:r w:rsidR="00D623B4" w:rsidRPr="00E72E07">
        <w:rPr>
          <w:rFonts w:ascii="Times New Roman" w:hAnsi="Times New Roman"/>
          <w:shd w:val="clear" w:color="auto" w:fill="FFFFFF"/>
        </w:rPr>
        <w:t xml:space="preserve"> </w:t>
      </w:r>
      <w:r>
        <w:rPr>
          <w:rFonts w:ascii="Times New Roman" w:hAnsi="Times New Roman"/>
          <w:shd w:val="clear" w:color="auto" w:fill="FFFFFF"/>
        </w:rPr>
        <w:t>observaram</w:t>
      </w:r>
      <w:proofErr w:type="gramEnd"/>
      <w:r>
        <w:rPr>
          <w:rFonts w:ascii="Times New Roman" w:hAnsi="Times New Roman"/>
          <w:shd w:val="clear" w:color="auto" w:fill="FFFFFF"/>
        </w:rPr>
        <w:t xml:space="preserve"> na</w:t>
      </w:r>
      <w:r w:rsidR="00D623B4" w:rsidRPr="00E72E07">
        <w:rPr>
          <w:rFonts w:ascii="Times New Roman" w:hAnsi="Times New Roman"/>
          <w:shd w:val="clear" w:color="auto" w:fill="FFFFFF"/>
        </w:rPr>
        <w:t xml:space="preserve"> amostra</w:t>
      </w:r>
      <w:r>
        <w:rPr>
          <w:rFonts w:ascii="Times New Roman" w:hAnsi="Times New Roman"/>
          <w:shd w:val="clear" w:color="auto" w:fill="FFFFFF"/>
        </w:rPr>
        <w:t xml:space="preserve"> estudada que</w:t>
      </w:r>
      <w:r w:rsidR="00D623B4" w:rsidRPr="00E72E07">
        <w:rPr>
          <w:rFonts w:ascii="Times New Roman" w:hAnsi="Times New Roman"/>
          <w:shd w:val="clear" w:color="auto" w:fill="FFFFFF"/>
        </w:rPr>
        <w:t xml:space="preserve"> os principais fatores de risco para o AVE foram: Sedentarismo (43,2%), Tabagismo (12,5%), Hipertensão (11,1%), Dislipid</w:t>
      </w:r>
      <w:r w:rsidR="00F17123">
        <w:rPr>
          <w:rFonts w:ascii="Times New Roman" w:hAnsi="Times New Roman"/>
          <w:shd w:val="clear" w:color="auto" w:fill="FFFFFF"/>
        </w:rPr>
        <w:t>emia (8,6%) e Diabetes (2,8%)</w:t>
      </w:r>
      <w:r w:rsidR="00B36316" w:rsidRPr="00F17123">
        <w:rPr>
          <w:rFonts w:ascii="Times New Roman" w:hAnsi="Times New Roman"/>
          <w:shd w:val="clear" w:color="auto" w:fill="FFFFFF"/>
          <w:vertAlign w:val="superscript"/>
        </w:rPr>
        <w:t>9</w:t>
      </w:r>
      <w:r w:rsidR="00D623B4" w:rsidRPr="00E72E07">
        <w:rPr>
          <w:rFonts w:ascii="Times New Roman" w:hAnsi="Times New Roman"/>
          <w:shd w:val="clear" w:color="auto" w:fill="FFFFFF"/>
        </w:rPr>
        <w:t>.</w:t>
      </w:r>
      <w:r w:rsidR="00D623B4" w:rsidRPr="00E72E07">
        <w:rPr>
          <w:rFonts w:ascii="Times New Roman" w:hAnsi="Times New Roman"/>
          <w:color w:val="000000"/>
        </w:rPr>
        <w:t xml:space="preserve"> Além disso, os principais dados sobre epidemiologia e fatores de risco associados </w:t>
      </w:r>
      <w:proofErr w:type="gramStart"/>
      <w:r w:rsidR="00D623B4" w:rsidRPr="00E72E07">
        <w:rPr>
          <w:rFonts w:ascii="Times New Roman" w:hAnsi="Times New Roman"/>
          <w:color w:val="000000"/>
        </w:rPr>
        <w:t>ao AVE</w:t>
      </w:r>
      <w:proofErr w:type="gramEnd"/>
      <w:r w:rsidR="00D623B4" w:rsidRPr="00E72E07">
        <w:rPr>
          <w:rFonts w:ascii="Times New Roman" w:hAnsi="Times New Roman"/>
          <w:color w:val="000000"/>
        </w:rPr>
        <w:t xml:space="preserve"> são baseados principalmente em estudo</w:t>
      </w:r>
      <w:r>
        <w:rPr>
          <w:rFonts w:ascii="Times New Roman" w:hAnsi="Times New Roman"/>
          <w:color w:val="000000"/>
        </w:rPr>
        <w:t xml:space="preserve">s norte-americanos ou europeus </w:t>
      </w:r>
      <w:r w:rsidR="00D623B4" w:rsidRPr="00E72E07">
        <w:rPr>
          <w:rFonts w:ascii="Times New Roman" w:hAnsi="Times New Roman"/>
          <w:color w:val="000000"/>
        </w:rPr>
        <w:t>e existe uma escassez de resultados dessa patologi</w:t>
      </w:r>
      <w:r w:rsidR="00F17123">
        <w:rPr>
          <w:rFonts w:ascii="Times New Roman" w:hAnsi="Times New Roman"/>
          <w:color w:val="000000"/>
        </w:rPr>
        <w:t>a em países em desenvolvimento</w:t>
      </w:r>
      <w:r w:rsidR="00BB362E" w:rsidRPr="00F17123">
        <w:rPr>
          <w:rFonts w:ascii="Times New Roman" w:hAnsi="Times New Roman"/>
          <w:color w:val="000000"/>
          <w:vertAlign w:val="superscript"/>
        </w:rPr>
        <w:t>2</w:t>
      </w:r>
      <w:r w:rsidR="00D623B4" w:rsidRPr="00E72E07">
        <w:rPr>
          <w:rFonts w:ascii="Times New Roman" w:hAnsi="Times New Roman"/>
          <w:color w:val="000000"/>
        </w:rPr>
        <w:t xml:space="preserve">. </w:t>
      </w:r>
      <w:r>
        <w:rPr>
          <w:rFonts w:ascii="Times New Roman" w:hAnsi="Times New Roman"/>
          <w:color w:val="000000"/>
        </w:rPr>
        <w:t>Em</w:t>
      </w:r>
      <w:r w:rsidR="00D623B4" w:rsidRPr="00E72E07">
        <w:rPr>
          <w:rFonts w:ascii="Times New Roman" w:hAnsi="Times New Roman"/>
        </w:rPr>
        <w:t xml:space="preserve"> um estudo de revisão sistemática </w:t>
      </w:r>
      <w:r>
        <w:rPr>
          <w:rFonts w:ascii="Times New Roman" w:hAnsi="Times New Roman"/>
        </w:rPr>
        <w:t xml:space="preserve">realizada na América do Sul sobre o AVE, foi observado que </w:t>
      </w:r>
      <w:r w:rsidR="00D623B4" w:rsidRPr="00E72E07">
        <w:rPr>
          <w:rFonts w:ascii="Times New Roman" w:hAnsi="Times New Roman"/>
        </w:rPr>
        <w:t>dos 200 trabalhos revisados somente 7 apresentavam informações sobre a epidemiologia desta doença.</w:t>
      </w:r>
      <w:r w:rsidR="00D623B4" w:rsidRPr="00E72E07">
        <w:rPr>
          <w:rFonts w:ascii="Times New Roman" w:hAnsi="Times New Roman"/>
          <w:color w:val="000000"/>
        </w:rPr>
        <w:t xml:space="preserve"> </w:t>
      </w:r>
    </w:p>
    <w:p w:rsidR="00D623B4" w:rsidRPr="00E72E07" w:rsidRDefault="00D623B4" w:rsidP="00D623B4">
      <w:pPr>
        <w:pStyle w:val="SemEspaamento"/>
        <w:spacing w:line="360" w:lineRule="auto"/>
        <w:ind w:firstLine="708"/>
        <w:jc w:val="both"/>
        <w:rPr>
          <w:rFonts w:ascii="Times New Roman" w:hAnsi="Times New Roman"/>
        </w:rPr>
      </w:pPr>
      <w:r w:rsidRPr="00E72E07">
        <w:rPr>
          <w:rFonts w:ascii="Times New Roman" w:hAnsi="Times New Roman"/>
          <w:color w:val="000000"/>
        </w:rPr>
        <w:lastRenderedPageBreak/>
        <w:t>No Brasil</w:t>
      </w:r>
      <w:r w:rsidRPr="00E72E07">
        <w:rPr>
          <w:rFonts w:ascii="Times New Roman" w:hAnsi="Times New Roman"/>
        </w:rPr>
        <w:t>, apesar do de</w:t>
      </w:r>
      <w:r w:rsidR="007132C3">
        <w:rPr>
          <w:rFonts w:ascii="Times New Roman" w:hAnsi="Times New Roman"/>
        </w:rPr>
        <w:t>clínio nas taxas de mortalidade</w:t>
      </w:r>
      <w:r w:rsidRPr="00E72E07">
        <w:rPr>
          <w:rFonts w:ascii="Times New Roman" w:hAnsi="Times New Roman"/>
        </w:rPr>
        <w:t xml:space="preserve"> o AVE aind</w:t>
      </w:r>
      <w:r w:rsidR="00F17123">
        <w:rPr>
          <w:rFonts w:ascii="Times New Roman" w:hAnsi="Times New Roman"/>
        </w:rPr>
        <w:t xml:space="preserve">a é a principal causa de </w:t>
      </w:r>
      <w:proofErr w:type="gramStart"/>
      <w:r w:rsidR="00F17123">
        <w:rPr>
          <w:rFonts w:ascii="Times New Roman" w:hAnsi="Times New Roman"/>
        </w:rPr>
        <w:t>morte</w:t>
      </w:r>
      <w:r w:rsidR="00BB362E" w:rsidRPr="00F17123">
        <w:rPr>
          <w:rFonts w:ascii="Times New Roman" w:hAnsi="Times New Roman"/>
          <w:vertAlign w:val="superscript"/>
        </w:rPr>
        <w:t>3,</w:t>
      </w:r>
      <w:proofErr w:type="gramEnd"/>
      <w:r w:rsidR="00BB362E" w:rsidRPr="00F17123">
        <w:rPr>
          <w:rFonts w:ascii="Times New Roman" w:hAnsi="Times New Roman"/>
          <w:vertAlign w:val="superscript"/>
        </w:rPr>
        <w:t>5</w:t>
      </w:r>
      <w:r w:rsidRPr="00E72E07">
        <w:rPr>
          <w:rFonts w:ascii="Times New Roman" w:hAnsi="Times New Roman"/>
        </w:rPr>
        <w:t xml:space="preserve">. </w:t>
      </w:r>
      <w:r w:rsidRPr="00E72E07">
        <w:rPr>
          <w:rFonts w:ascii="Times New Roman" w:hAnsi="Times New Roman"/>
          <w:color w:val="000000"/>
        </w:rPr>
        <w:t xml:space="preserve">Em 2003, no Nordeste, a taxa de mortalidade </w:t>
      </w:r>
      <w:proofErr w:type="gramStart"/>
      <w:r w:rsidRPr="00E72E07">
        <w:rPr>
          <w:rFonts w:ascii="Times New Roman" w:hAnsi="Times New Roman"/>
          <w:color w:val="000000"/>
        </w:rPr>
        <w:t>pelo AVE</w:t>
      </w:r>
      <w:proofErr w:type="gramEnd"/>
      <w:r w:rsidRPr="00E72E07">
        <w:rPr>
          <w:rFonts w:ascii="Times New Roman" w:hAnsi="Times New Roman"/>
          <w:color w:val="000000"/>
        </w:rPr>
        <w:t xml:space="preserve"> </w:t>
      </w:r>
      <w:r w:rsidR="00F17123">
        <w:rPr>
          <w:rFonts w:ascii="Times New Roman" w:hAnsi="Times New Roman"/>
          <w:color w:val="000000"/>
        </w:rPr>
        <w:t>foi de 54,6/100 mil habitantes</w:t>
      </w:r>
      <w:r w:rsidR="00BB362E" w:rsidRPr="00F17123">
        <w:rPr>
          <w:rFonts w:ascii="Times New Roman" w:hAnsi="Times New Roman"/>
          <w:color w:val="000000"/>
          <w:vertAlign w:val="superscript"/>
        </w:rPr>
        <w:t>6</w:t>
      </w:r>
      <w:r w:rsidRPr="00E72E07">
        <w:rPr>
          <w:rFonts w:ascii="Times New Roman" w:hAnsi="Times New Roman"/>
          <w:color w:val="000000"/>
        </w:rPr>
        <w:t>. De acordo com o DATASUS, o estado do Rio Grande do Norte apresentou coeficiente de mortalidade por doenças cerebrovasculares nos anos de 2007 e 2008, com valores de 44,9/100 mil habitantes e 43,5/100 mil habitantes, respectivamente. Dados</w:t>
      </w:r>
      <w:r w:rsidRPr="00E72E07">
        <w:rPr>
          <w:rFonts w:ascii="Times New Roman" w:hAnsi="Times New Roman"/>
          <w:color w:val="000000"/>
          <w:shd w:val="clear" w:color="auto" w:fill="F9FBFD"/>
        </w:rPr>
        <w:t xml:space="preserve"> do DATASUS sobre o município de Santa Cruz, RN informam que, das internações hospitalares ocorridas no ano de 2009, 19,6% ocorreram na faixa etária de 50 a 64 anos e 21,1% em 65 anos ou mais foram em decorrência de doenças do sistema circulatório. Além disso, o município de Santa Cruz apresentou no ano de 2011 a taxa de internações por AVE de 8,65/10.000 habitantes e o coeficiente de mortalidade por doenças cerebrovasculares no ano de 2</w:t>
      </w:r>
      <w:r w:rsidR="00F17123">
        <w:rPr>
          <w:rFonts w:ascii="Times New Roman" w:hAnsi="Times New Roman"/>
          <w:color w:val="000000"/>
          <w:shd w:val="clear" w:color="auto" w:fill="F9FBFD"/>
        </w:rPr>
        <w:t>008 de 66,2/100 mil habitantes</w:t>
      </w:r>
      <w:r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0</w:t>
      </w:r>
      <w:r w:rsidRPr="00E72E07">
        <w:rPr>
          <w:rFonts w:ascii="Times New Roman" w:hAnsi="Times New Roman"/>
          <w:color w:val="000000"/>
          <w:shd w:val="clear" w:color="auto" w:fill="F9FBFD"/>
        </w:rPr>
        <w:t>.</w:t>
      </w:r>
      <w:r w:rsidRPr="00E72E07">
        <w:rPr>
          <w:rFonts w:ascii="Times New Roman" w:hAnsi="Times New Roman"/>
        </w:rPr>
        <w:t xml:space="preserve"> </w:t>
      </w:r>
    </w:p>
    <w:p w:rsidR="00D623B4" w:rsidRPr="007132C3" w:rsidRDefault="00D623B4" w:rsidP="007132C3">
      <w:pPr>
        <w:pStyle w:val="SemEspaamento"/>
        <w:spacing w:line="360" w:lineRule="auto"/>
        <w:ind w:firstLine="708"/>
        <w:jc w:val="both"/>
        <w:rPr>
          <w:rStyle w:val="apple-converted-space"/>
          <w:rFonts w:ascii="Times New Roman" w:hAnsi="Times New Roman"/>
          <w:color w:val="000000"/>
        </w:rPr>
      </w:pPr>
      <w:r w:rsidRPr="00E72E07">
        <w:rPr>
          <w:rFonts w:ascii="Times New Roman" w:hAnsi="Times New Roman"/>
        </w:rPr>
        <w:t xml:space="preserve">As consequências, em longo prazo, após </w:t>
      </w:r>
      <w:proofErr w:type="gramStart"/>
      <w:r w:rsidRPr="00E72E07">
        <w:rPr>
          <w:rFonts w:ascii="Times New Roman" w:hAnsi="Times New Roman"/>
        </w:rPr>
        <w:t>o AVE</w:t>
      </w:r>
      <w:proofErr w:type="gramEnd"/>
      <w:r w:rsidRPr="00E72E07">
        <w:rPr>
          <w:rFonts w:ascii="Times New Roman" w:hAnsi="Times New Roman"/>
        </w:rPr>
        <w:t xml:space="preserve"> vão depender do tamanho e localização da lesão, além da capacidade de </w:t>
      </w:r>
      <w:proofErr w:type="spellStart"/>
      <w:r w:rsidRPr="00E72E07">
        <w:rPr>
          <w:rFonts w:ascii="Times New Roman" w:hAnsi="Times New Roman"/>
        </w:rPr>
        <w:t>neuroplasticidade</w:t>
      </w:r>
      <w:proofErr w:type="spellEnd"/>
      <w:r w:rsidR="00B36316">
        <w:rPr>
          <w:rFonts w:ascii="Times New Roman" w:hAnsi="Times New Roman"/>
        </w:rPr>
        <w:t xml:space="preserve"> cerebral. </w:t>
      </w:r>
      <w:r w:rsidRPr="00E72E07">
        <w:rPr>
          <w:rFonts w:ascii="Times New Roman" w:hAnsi="Times New Roman"/>
        </w:rPr>
        <w:t xml:space="preserve">A funcionalidade e motricidade ficam completamente afetados e as incapacidades e sequelas geradas acarretam limitações </w:t>
      </w:r>
      <w:proofErr w:type="gramStart"/>
      <w:r w:rsidRPr="00E72E07">
        <w:rPr>
          <w:rFonts w:ascii="Times New Roman" w:hAnsi="Times New Roman"/>
        </w:rPr>
        <w:t>funcionais e grande</w:t>
      </w:r>
      <w:proofErr w:type="gramEnd"/>
      <w:r w:rsidRPr="00E72E07">
        <w:rPr>
          <w:rFonts w:ascii="Times New Roman" w:hAnsi="Times New Roman"/>
        </w:rPr>
        <w:t xml:space="preserve"> dependência</w:t>
      </w:r>
      <w:r w:rsidRPr="00F17123">
        <w:rPr>
          <w:rFonts w:ascii="Times New Roman" w:hAnsi="Times New Roman"/>
          <w:vertAlign w:val="superscript"/>
        </w:rPr>
        <w:t>1</w:t>
      </w:r>
      <w:r w:rsidR="00BB362E" w:rsidRPr="00F17123">
        <w:rPr>
          <w:rFonts w:ascii="Times New Roman" w:hAnsi="Times New Roman"/>
          <w:vertAlign w:val="superscript"/>
        </w:rPr>
        <w:t>1</w:t>
      </w:r>
      <w:r w:rsidRPr="00E72E07">
        <w:rPr>
          <w:rFonts w:ascii="Times New Roman" w:hAnsi="Times New Roman"/>
        </w:rPr>
        <w:t xml:space="preserve">. </w:t>
      </w:r>
      <w:r w:rsidRPr="00E72E07">
        <w:rPr>
          <w:rFonts w:ascii="Times New Roman" w:hAnsi="Times New Roman"/>
          <w:color w:val="000000"/>
        </w:rPr>
        <w:t>As repercussões e sequelas do AVE propiciam diversas alterações pessoais e sociais na vida dos indivíduos, que por sua vez geram restrições e alterações relacionadas a limitações nas Atividades de Vida Diárias (</w:t>
      </w:r>
      <w:proofErr w:type="spellStart"/>
      <w:r w:rsidRPr="00E72E07">
        <w:rPr>
          <w:rFonts w:ascii="Times New Roman" w:hAnsi="Times New Roman"/>
          <w:color w:val="000000"/>
        </w:rPr>
        <w:t>AVD’s</w:t>
      </w:r>
      <w:proofErr w:type="spellEnd"/>
      <w:r w:rsidRPr="00E72E07">
        <w:rPr>
          <w:rFonts w:ascii="Times New Roman" w:hAnsi="Times New Roman"/>
          <w:color w:val="000000"/>
        </w:rPr>
        <w:t xml:space="preserve">). </w:t>
      </w:r>
      <w:r w:rsidRPr="00E72E07">
        <w:rPr>
          <w:rFonts w:ascii="Times New Roman" w:hAnsi="Times New Roman"/>
        </w:rPr>
        <w:t>A utilização de instrumentos de avaliação para pacientes pós-AVE é de extrema importância para analisar e compreender o impacto das limitações dessa patologia além de sua correlação com as alterações do comprometimento sensório-motor, sensitivo e funcional. Diversas escalas de avaliação para o AVE são usadas na prá</w:t>
      </w:r>
      <w:r w:rsidRPr="00E72E07">
        <w:rPr>
          <w:rFonts w:ascii="Times New Roman" w:hAnsi="Times New Roman"/>
        </w:rPr>
        <w:softHyphen/>
        <w:t>tica clínica e em pesquisas para diagnósticos, prognósticos, resposta a tratamentos e a</w:t>
      </w:r>
      <w:r w:rsidR="00F17123">
        <w:rPr>
          <w:rFonts w:ascii="Times New Roman" w:hAnsi="Times New Roman"/>
        </w:rPr>
        <w:t xml:space="preserve">valiação da severidade </w:t>
      </w:r>
      <w:proofErr w:type="gramStart"/>
      <w:r w:rsidR="00F17123">
        <w:rPr>
          <w:rFonts w:ascii="Times New Roman" w:hAnsi="Times New Roman"/>
        </w:rPr>
        <w:t>clínica</w:t>
      </w:r>
      <w:r w:rsidRPr="00F17123">
        <w:rPr>
          <w:rFonts w:ascii="Times New Roman" w:hAnsi="Times New Roman"/>
          <w:vertAlign w:val="superscript"/>
        </w:rPr>
        <w:t>1</w:t>
      </w:r>
      <w:r w:rsidR="00BB362E" w:rsidRPr="00F17123">
        <w:rPr>
          <w:rFonts w:ascii="Times New Roman" w:hAnsi="Times New Roman"/>
          <w:vertAlign w:val="superscript"/>
        </w:rPr>
        <w:t>1</w:t>
      </w:r>
      <w:r w:rsidRPr="00F17123">
        <w:rPr>
          <w:rFonts w:ascii="Times New Roman" w:hAnsi="Times New Roman"/>
          <w:vertAlign w:val="superscript"/>
        </w:rPr>
        <w:t>,</w:t>
      </w:r>
      <w:proofErr w:type="gramEnd"/>
      <w:r w:rsidRPr="00F17123">
        <w:rPr>
          <w:rFonts w:ascii="Times New Roman" w:hAnsi="Times New Roman"/>
          <w:vertAlign w:val="superscript"/>
        </w:rPr>
        <w:t>1</w:t>
      </w:r>
      <w:r w:rsidR="00BB362E" w:rsidRPr="00F17123">
        <w:rPr>
          <w:rFonts w:ascii="Times New Roman" w:hAnsi="Times New Roman"/>
          <w:vertAlign w:val="superscript"/>
        </w:rPr>
        <w:t>2</w:t>
      </w:r>
      <w:r w:rsidRPr="00E72E07">
        <w:rPr>
          <w:rStyle w:val="A3"/>
          <w:rFonts w:ascii="Times New Roman" w:hAnsi="Times New Roman"/>
        </w:rPr>
        <w:t xml:space="preserve">. </w:t>
      </w:r>
      <w:r w:rsidRPr="00E72E07">
        <w:rPr>
          <w:rFonts w:ascii="Times New Roman" w:hAnsi="Times New Roman"/>
        </w:rPr>
        <w:t>Os estudos sobre a epidemiologia e mortalidade por doenças cerebrovasculares são necessários para que se conheça sua distribuição por localidade, a fim de subsidiar políticas de atenção aos agravos agudos e crônicos mais prevalentes. Além disso, mesmo com a alta taxa de mortalidade em países menos desenvolvidos, ainda existem poucas informações sobre a prevalência de doenças neurológicas, dentre elas o AVE.</w:t>
      </w:r>
      <w:r w:rsidR="007132C3">
        <w:rPr>
          <w:rStyle w:val="apple-style-span"/>
          <w:rFonts w:ascii="Times New Roman" w:hAnsi="Times New Roman"/>
          <w:color w:val="000000"/>
        </w:rPr>
        <w:t xml:space="preserve"> Dessa forma, </w:t>
      </w:r>
      <w:r w:rsidR="007132C3">
        <w:rPr>
          <w:rStyle w:val="apple-style-span"/>
          <w:rFonts w:ascii="Times New Roman" w:hAnsi="Times New Roman"/>
          <w:shd w:val="clear" w:color="auto" w:fill="F9FBFD"/>
        </w:rPr>
        <w:t>o</w:t>
      </w:r>
      <w:r w:rsidRPr="00E72E07">
        <w:rPr>
          <w:rStyle w:val="apple-style-span"/>
          <w:rFonts w:ascii="Times New Roman" w:hAnsi="Times New Roman"/>
          <w:shd w:val="clear" w:color="auto" w:fill="F9FBFD"/>
        </w:rPr>
        <w:t xml:space="preserve"> presente estudo teve como objetivo avaliar o perfil social e funcional dos usuários de Unidades Básicas de Saúde (UBS)/Estratégia Saúde da Família (ESF) com </w:t>
      </w:r>
      <w:r w:rsidRPr="00E72E07">
        <w:rPr>
          <w:rFonts w:ascii="Times New Roman" w:hAnsi="Times New Roman"/>
          <w:color w:val="000000"/>
          <w:shd w:val="clear" w:color="auto" w:fill="F9FBFD"/>
        </w:rPr>
        <w:t>Acidente Vascular Encefálico (AVE)</w:t>
      </w:r>
      <w:r w:rsidRPr="00E72E07">
        <w:rPr>
          <w:rStyle w:val="apple-style-span"/>
          <w:rFonts w:ascii="Times New Roman" w:hAnsi="Times New Roman"/>
          <w:shd w:val="clear" w:color="auto" w:fill="F9FBFD"/>
        </w:rPr>
        <w:t xml:space="preserve"> </w:t>
      </w:r>
      <w:r w:rsidRPr="00E72E07">
        <w:rPr>
          <w:rFonts w:ascii="Times New Roman" w:hAnsi="Times New Roman"/>
          <w:color w:val="000000"/>
          <w:shd w:val="clear" w:color="auto" w:fill="F9FBFD"/>
        </w:rPr>
        <w:t>acima de 50 anos do município de Santa Cruz - Rio Grande do Norte.</w:t>
      </w:r>
      <w:r w:rsidRPr="00E72E07">
        <w:rPr>
          <w:rStyle w:val="apple-converted-space"/>
          <w:rFonts w:ascii="Times New Roman" w:hAnsi="Times New Roman"/>
          <w:color w:val="000000"/>
          <w:shd w:val="clear" w:color="auto" w:fill="F9FBFD"/>
        </w:rPr>
        <w:t> </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p>
    <w:p w:rsidR="00D623B4" w:rsidRDefault="00E018F9" w:rsidP="00D623B4">
      <w:pPr>
        <w:pStyle w:val="SemEspaamento"/>
        <w:spacing w:line="360" w:lineRule="auto"/>
        <w:jc w:val="both"/>
        <w:rPr>
          <w:rFonts w:ascii="Times New Roman" w:hAnsi="Times New Roman"/>
          <w:b/>
        </w:rPr>
      </w:pPr>
      <w:r w:rsidRPr="00E72E07">
        <w:rPr>
          <w:rFonts w:ascii="Times New Roman" w:hAnsi="Times New Roman"/>
          <w:b/>
        </w:rPr>
        <w:t>METODOLOGIA</w:t>
      </w:r>
    </w:p>
    <w:p w:rsidR="007132C3" w:rsidRPr="00E72E07" w:rsidRDefault="007132C3" w:rsidP="00D623B4">
      <w:pPr>
        <w:pStyle w:val="SemEspaamento"/>
        <w:spacing w:line="360" w:lineRule="auto"/>
        <w:jc w:val="both"/>
        <w:rPr>
          <w:rFonts w:ascii="Times New Roman" w:hAnsi="Times New Roman"/>
          <w:b/>
        </w:rPr>
      </w:pP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Trata-se de um estudo transversal e descritivo, onde foram selecionados sujeitos com diagnóstico clínico de AVE adscritos nas Unidades Básicas de Saúde (UBS) de Santa Cruz-RN. </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Foram incluídos na pesquisa os indivíduos com idade superior a 50 anos com diagnóstico clínico de AVE apresentando ou não sinais clínicos de sequela. Os sujeitos com qualquer outra patologia neurológica associada foram excluídos da pesquisa assim como os casos de desistência e mudança de cidade.</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lastRenderedPageBreak/>
        <w:t xml:space="preserve">Após contato com as UBS dos bairros Centro, Conjunto Cônego Monte, Paraíso, Maracujá e DNER, os entrevistadores realizaram coleta de dados em prontuários e </w:t>
      </w:r>
      <w:proofErr w:type="gramStart"/>
      <w:r w:rsidRPr="00E72E07">
        <w:rPr>
          <w:rFonts w:ascii="Times New Roman" w:hAnsi="Times New Roman"/>
          <w:color w:val="000000"/>
          <w:shd w:val="clear" w:color="auto" w:fill="F9FBFD"/>
        </w:rPr>
        <w:t>agendaram</w:t>
      </w:r>
      <w:proofErr w:type="gramEnd"/>
      <w:r w:rsidRPr="00E72E07">
        <w:rPr>
          <w:rFonts w:ascii="Times New Roman" w:hAnsi="Times New Roman"/>
          <w:color w:val="000000"/>
          <w:shd w:val="clear" w:color="auto" w:fill="F9FBFD"/>
        </w:rPr>
        <w:t xml:space="preserve"> visita domiciliar para entrevista e análise das condições clínicas do paciente.</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A caracterização </w:t>
      </w:r>
      <w:proofErr w:type="spellStart"/>
      <w:r w:rsidRPr="00E72E07">
        <w:rPr>
          <w:rFonts w:ascii="Times New Roman" w:hAnsi="Times New Roman"/>
          <w:color w:val="000000"/>
          <w:shd w:val="clear" w:color="auto" w:fill="F9FBFD"/>
        </w:rPr>
        <w:t>sóciodemográfica</w:t>
      </w:r>
      <w:proofErr w:type="spellEnd"/>
      <w:r w:rsidRPr="00E72E07">
        <w:rPr>
          <w:rFonts w:ascii="Times New Roman" w:hAnsi="Times New Roman"/>
          <w:color w:val="000000"/>
          <w:shd w:val="clear" w:color="auto" w:fill="F9FBFD"/>
        </w:rPr>
        <w:t xml:space="preserve"> se deu através de questionário </w:t>
      </w:r>
      <w:proofErr w:type="spellStart"/>
      <w:r w:rsidRPr="00E72E07">
        <w:rPr>
          <w:rFonts w:ascii="Times New Roman" w:hAnsi="Times New Roman"/>
          <w:color w:val="000000"/>
          <w:shd w:val="clear" w:color="auto" w:fill="F9FBFD"/>
        </w:rPr>
        <w:t>semi-estruturado</w:t>
      </w:r>
      <w:proofErr w:type="spellEnd"/>
      <w:r w:rsidRPr="00E72E07">
        <w:rPr>
          <w:rFonts w:ascii="Times New Roman" w:hAnsi="Times New Roman"/>
          <w:color w:val="000000"/>
          <w:shd w:val="clear" w:color="auto" w:fill="F9FBFD"/>
        </w:rPr>
        <w:t xml:space="preserve"> onde foram preenchidas informações sobre nome, sexo, idade, escolaridade, estado civil, ocupação, fonte de renda, tempo decorrido desde </w:t>
      </w:r>
      <w:proofErr w:type="gramStart"/>
      <w:r w:rsidRPr="00E72E07">
        <w:rPr>
          <w:rFonts w:ascii="Times New Roman" w:hAnsi="Times New Roman"/>
          <w:color w:val="000000"/>
          <w:shd w:val="clear" w:color="auto" w:fill="F9FBFD"/>
        </w:rPr>
        <w:t>o primeiro AVE</w:t>
      </w:r>
      <w:proofErr w:type="gramEnd"/>
      <w:r w:rsidRPr="00E72E07">
        <w:rPr>
          <w:rFonts w:ascii="Times New Roman" w:hAnsi="Times New Roman"/>
          <w:color w:val="000000"/>
          <w:shd w:val="clear" w:color="auto" w:fill="F9FBFD"/>
        </w:rPr>
        <w:t xml:space="preserve">, </w:t>
      </w:r>
      <w:proofErr w:type="spellStart"/>
      <w:r w:rsidRPr="00E72E07">
        <w:rPr>
          <w:rFonts w:ascii="Times New Roman" w:hAnsi="Times New Roman"/>
          <w:color w:val="000000"/>
          <w:shd w:val="clear" w:color="auto" w:fill="F9FBFD"/>
        </w:rPr>
        <w:t>hemicorpo</w:t>
      </w:r>
      <w:proofErr w:type="spellEnd"/>
      <w:r w:rsidRPr="00E72E07">
        <w:rPr>
          <w:rFonts w:ascii="Times New Roman" w:hAnsi="Times New Roman"/>
          <w:color w:val="000000"/>
          <w:shd w:val="clear" w:color="auto" w:fill="F9FBFD"/>
        </w:rPr>
        <w:t xml:space="preserve"> acometido. Além, da aplicação d</w:t>
      </w:r>
      <w:r w:rsidR="0029006D">
        <w:rPr>
          <w:rFonts w:ascii="Times New Roman" w:hAnsi="Times New Roman"/>
          <w:color w:val="000000"/>
          <w:shd w:val="clear" w:color="auto" w:fill="F9FBFD"/>
        </w:rPr>
        <w:t>a</w:t>
      </w:r>
      <w:r w:rsidRPr="00E72E07">
        <w:rPr>
          <w:rFonts w:ascii="Times New Roman" w:hAnsi="Times New Roman"/>
          <w:color w:val="000000"/>
          <w:shd w:val="clear" w:color="auto" w:fill="F9FBFD"/>
        </w:rPr>
        <w:t>s</w:t>
      </w:r>
      <w:r w:rsidR="0029006D">
        <w:rPr>
          <w:rFonts w:ascii="Times New Roman" w:hAnsi="Times New Roman"/>
          <w:color w:val="000000"/>
          <w:shd w:val="clear" w:color="auto" w:fill="F9FBFD"/>
        </w:rPr>
        <w:t xml:space="preserve"> escalas de avaliação:</w:t>
      </w:r>
      <w:r w:rsidRPr="00E72E07">
        <w:rPr>
          <w:rFonts w:ascii="Times New Roman" w:hAnsi="Times New Roman"/>
          <w:color w:val="000000"/>
          <w:shd w:val="clear" w:color="auto" w:fill="F9FBFD"/>
        </w:rPr>
        <w:t xml:space="preserve"> </w:t>
      </w:r>
      <w:proofErr w:type="spellStart"/>
      <w:r w:rsidRPr="00E72E07">
        <w:rPr>
          <w:rFonts w:ascii="Times New Roman" w:hAnsi="Times New Roman"/>
          <w:color w:val="000000"/>
          <w:shd w:val="clear" w:color="auto" w:fill="F9FBFD"/>
        </w:rPr>
        <w:t>Mini</w:t>
      </w:r>
      <w:r w:rsidR="00F17123">
        <w:rPr>
          <w:rFonts w:ascii="Times New Roman" w:hAnsi="Times New Roman"/>
          <w:color w:val="000000"/>
          <w:shd w:val="clear" w:color="auto" w:fill="F9FBFD"/>
        </w:rPr>
        <w:t>-Exame</w:t>
      </w:r>
      <w:proofErr w:type="spellEnd"/>
      <w:r w:rsidR="00F17123">
        <w:rPr>
          <w:rFonts w:ascii="Times New Roman" w:hAnsi="Times New Roman"/>
          <w:color w:val="000000"/>
          <w:shd w:val="clear" w:color="auto" w:fill="F9FBFD"/>
        </w:rPr>
        <w:t xml:space="preserve"> do Estado Mental</w:t>
      </w:r>
      <w:r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3</w:t>
      </w:r>
      <w:r w:rsidRPr="00E72E07">
        <w:rPr>
          <w:rFonts w:ascii="Times New Roman" w:hAnsi="Times New Roman"/>
          <w:color w:val="000000"/>
          <w:shd w:val="clear" w:color="auto" w:fill="F9FBFD"/>
        </w:rPr>
        <w:t>, Med</w:t>
      </w:r>
      <w:r w:rsidR="00F17123">
        <w:rPr>
          <w:rFonts w:ascii="Times New Roman" w:hAnsi="Times New Roman"/>
          <w:color w:val="000000"/>
          <w:shd w:val="clear" w:color="auto" w:fill="F9FBFD"/>
        </w:rPr>
        <w:t xml:space="preserve">ida de Independência </w:t>
      </w:r>
      <w:proofErr w:type="gramStart"/>
      <w:r w:rsidR="00F17123">
        <w:rPr>
          <w:rFonts w:ascii="Times New Roman" w:hAnsi="Times New Roman"/>
          <w:color w:val="000000"/>
          <w:shd w:val="clear" w:color="auto" w:fill="F9FBFD"/>
        </w:rPr>
        <w:t>Funcional</w:t>
      </w:r>
      <w:r w:rsidR="00BB362E" w:rsidRPr="00F17123">
        <w:rPr>
          <w:rFonts w:ascii="Times New Roman" w:hAnsi="Times New Roman"/>
          <w:color w:val="000000"/>
          <w:shd w:val="clear" w:color="auto" w:fill="F9FBFD"/>
          <w:vertAlign w:val="superscript"/>
        </w:rPr>
        <w:t>14,</w:t>
      </w:r>
      <w:proofErr w:type="gramEnd"/>
      <w:r w:rsidR="00BB362E" w:rsidRPr="00F17123">
        <w:rPr>
          <w:rFonts w:ascii="Times New Roman" w:hAnsi="Times New Roman"/>
          <w:color w:val="000000"/>
          <w:shd w:val="clear" w:color="auto" w:fill="F9FBFD"/>
          <w:vertAlign w:val="superscript"/>
        </w:rPr>
        <w:t>15</w:t>
      </w:r>
      <w:r w:rsidR="00F17123">
        <w:rPr>
          <w:rFonts w:ascii="Times New Roman" w:hAnsi="Times New Roman"/>
          <w:color w:val="000000"/>
          <w:shd w:val="clear" w:color="auto" w:fill="F9FBFD"/>
        </w:rPr>
        <w:t>, Escala de Equilíbrio de Berg</w:t>
      </w:r>
      <w:r w:rsidR="00BB362E" w:rsidRPr="00F17123">
        <w:rPr>
          <w:rFonts w:ascii="Times New Roman" w:hAnsi="Times New Roman"/>
          <w:color w:val="000000"/>
          <w:shd w:val="clear" w:color="auto" w:fill="F9FBFD"/>
          <w:vertAlign w:val="superscript"/>
        </w:rPr>
        <w:t>16</w:t>
      </w:r>
      <w:r w:rsidRPr="00E72E07">
        <w:rPr>
          <w:rFonts w:ascii="Times New Roman" w:hAnsi="Times New Roman"/>
          <w:color w:val="000000"/>
          <w:shd w:val="clear" w:color="auto" w:fill="F9FBFD"/>
        </w:rPr>
        <w:t>, Escala de D</w:t>
      </w:r>
      <w:r w:rsidR="00F17123">
        <w:rPr>
          <w:rFonts w:ascii="Times New Roman" w:hAnsi="Times New Roman"/>
          <w:color w:val="000000"/>
          <w:shd w:val="clear" w:color="auto" w:fill="F9FBFD"/>
        </w:rPr>
        <w:t>esempenho Físico de Fugl-Meyer</w:t>
      </w:r>
      <w:r w:rsidR="00BB362E" w:rsidRPr="00F17123">
        <w:rPr>
          <w:rFonts w:ascii="Times New Roman" w:hAnsi="Times New Roman"/>
          <w:color w:val="000000"/>
          <w:shd w:val="clear" w:color="auto" w:fill="F9FBFD"/>
          <w:vertAlign w:val="superscript"/>
        </w:rPr>
        <w:t>17</w:t>
      </w:r>
      <w:r w:rsidRPr="00E72E07">
        <w:rPr>
          <w:rFonts w:ascii="Times New Roman" w:hAnsi="Times New Roman"/>
          <w:color w:val="000000"/>
          <w:shd w:val="clear" w:color="auto" w:fill="F9FBFD"/>
        </w:rPr>
        <w:t>, Escala de Categ</w:t>
      </w:r>
      <w:r w:rsidR="00F17123">
        <w:rPr>
          <w:rFonts w:ascii="Times New Roman" w:hAnsi="Times New Roman"/>
          <w:color w:val="000000"/>
          <w:shd w:val="clear" w:color="auto" w:fill="F9FBFD"/>
        </w:rPr>
        <w:t>orias de Deambulação Funcional</w:t>
      </w:r>
      <w:r w:rsidR="00BB362E" w:rsidRPr="00F17123">
        <w:rPr>
          <w:rFonts w:ascii="Times New Roman" w:hAnsi="Times New Roman"/>
          <w:color w:val="000000"/>
          <w:shd w:val="clear" w:color="auto" w:fill="F9FBFD"/>
          <w:vertAlign w:val="superscript"/>
        </w:rPr>
        <w:t>18</w:t>
      </w:r>
      <w:r w:rsidR="000033DF" w:rsidRPr="00F17123">
        <w:rPr>
          <w:rFonts w:ascii="Times New Roman" w:hAnsi="Times New Roman"/>
          <w:color w:val="000000"/>
          <w:shd w:val="clear" w:color="auto" w:fill="F9FBFD"/>
          <w:vertAlign w:val="superscript"/>
        </w:rPr>
        <w:t>,</w:t>
      </w:r>
      <w:r w:rsidR="00BB362E" w:rsidRPr="00F17123">
        <w:rPr>
          <w:rFonts w:ascii="Times New Roman" w:hAnsi="Times New Roman"/>
          <w:color w:val="000000"/>
          <w:shd w:val="clear" w:color="auto" w:fill="F9FBFD"/>
          <w:vertAlign w:val="superscript"/>
        </w:rPr>
        <w:t>19</w:t>
      </w:r>
      <w:r w:rsidR="00F17123">
        <w:rPr>
          <w:rFonts w:ascii="Times New Roman" w:hAnsi="Times New Roman"/>
          <w:color w:val="000000"/>
          <w:shd w:val="clear" w:color="auto" w:fill="F9FBFD"/>
        </w:rPr>
        <w:t xml:space="preserve"> e </w:t>
      </w:r>
      <w:proofErr w:type="spellStart"/>
      <w:r w:rsidR="00F17123">
        <w:rPr>
          <w:rFonts w:ascii="Times New Roman" w:hAnsi="Times New Roman"/>
          <w:color w:val="000000"/>
          <w:shd w:val="clear" w:color="auto" w:fill="F9FBFD"/>
        </w:rPr>
        <w:t>Timed</w:t>
      </w:r>
      <w:proofErr w:type="spellEnd"/>
      <w:r w:rsidR="00F17123">
        <w:rPr>
          <w:rFonts w:ascii="Times New Roman" w:hAnsi="Times New Roman"/>
          <w:color w:val="000000"/>
          <w:shd w:val="clear" w:color="auto" w:fill="F9FBFD"/>
        </w:rPr>
        <w:t xml:space="preserve"> </w:t>
      </w:r>
      <w:proofErr w:type="spellStart"/>
      <w:r w:rsidR="00F17123">
        <w:rPr>
          <w:rFonts w:ascii="Times New Roman" w:hAnsi="Times New Roman"/>
          <w:color w:val="000000"/>
          <w:shd w:val="clear" w:color="auto" w:fill="F9FBFD"/>
        </w:rPr>
        <w:t>Up</w:t>
      </w:r>
      <w:proofErr w:type="spellEnd"/>
      <w:r w:rsidR="00F17123">
        <w:rPr>
          <w:rFonts w:ascii="Times New Roman" w:hAnsi="Times New Roman"/>
          <w:color w:val="000000"/>
          <w:shd w:val="clear" w:color="auto" w:fill="F9FBFD"/>
        </w:rPr>
        <w:t xml:space="preserve"> </w:t>
      </w:r>
      <w:proofErr w:type="spellStart"/>
      <w:r w:rsidR="00F17123">
        <w:rPr>
          <w:rFonts w:ascii="Times New Roman" w:hAnsi="Times New Roman"/>
          <w:color w:val="000000"/>
          <w:shd w:val="clear" w:color="auto" w:fill="F9FBFD"/>
        </w:rPr>
        <w:t>and</w:t>
      </w:r>
      <w:proofErr w:type="spellEnd"/>
      <w:r w:rsidR="00F17123">
        <w:rPr>
          <w:rFonts w:ascii="Times New Roman" w:hAnsi="Times New Roman"/>
          <w:color w:val="000000"/>
          <w:shd w:val="clear" w:color="auto" w:fill="F9FBFD"/>
        </w:rPr>
        <w:t xml:space="preserve"> Go</w:t>
      </w:r>
      <w:r w:rsidRPr="00F17123">
        <w:rPr>
          <w:rFonts w:ascii="Times New Roman" w:hAnsi="Times New Roman"/>
          <w:color w:val="000000"/>
          <w:shd w:val="clear" w:color="auto" w:fill="F9FBFD"/>
          <w:vertAlign w:val="superscript"/>
        </w:rPr>
        <w:t>2</w:t>
      </w:r>
      <w:r w:rsidR="00BB362E" w:rsidRPr="00F17123">
        <w:rPr>
          <w:rFonts w:ascii="Times New Roman" w:hAnsi="Times New Roman"/>
          <w:color w:val="000000"/>
          <w:shd w:val="clear" w:color="auto" w:fill="F9FBFD"/>
          <w:vertAlign w:val="superscript"/>
        </w:rPr>
        <w:t>0</w:t>
      </w:r>
      <w:r w:rsidRPr="00E72E07">
        <w:rPr>
          <w:rFonts w:ascii="Times New Roman" w:hAnsi="Times New Roman"/>
          <w:color w:val="000000"/>
          <w:shd w:val="clear" w:color="auto" w:fill="F9FBFD"/>
        </w:rPr>
        <w:t xml:space="preserve">. </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Para mensurar o comprometimento cognitivo foi utilizado o Mini Exame do Estado Mental (MEEM). O MEEM é dividido em sete dimensões, que incluem orientação temporal, orientação espacial, memória imediata, atenção e cálculo, evocação, linguagem e construção visual. A sua pontuação total do MEEM varia de 0 a 30 pontos, onde </w:t>
      </w:r>
      <w:r w:rsidR="000033DF">
        <w:rPr>
          <w:rFonts w:ascii="Times New Roman" w:hAnsi="Times New Roman"/>
        </w:rPr>
        <w:t>alguns autores</w:t>
      </w:r>
      <w:r w:rsidRPr="00E72E07">
        <w:rPr>
          <w:rFonts w:ascii="Times New Roman" w:hAnsi="Times New Roman"/>
        </w:rPr>
        <w:t xml:space="preserve"> estabeleceram o ponto de corte para os analfabetos (13 pontos), de 1 a 8 anos de estudo (18 pontos) e mais de </w:t>
      </w:r>
      <w:proofErr w:type="gramStart"/>
      <w:r w:rsidRPr="00E72E07">
        <w:rPr>
          <w:rFonts w:ascii="Times New Roman" w:hAnsi="Times New Roman"/>
        </w:rPr>
        <w:t>8</w:t>
      </w:r>
      <w:proofErr w:type="gramEnd"/>
      <w:r w:rsidRPr="00E72E07">
        <w:rPr>
          <w:rFonts w:ascii="Times New Roman" w:hAnsi="Times New Roman"/>
        </w:rPr>
        <w:t xml:space="preserve"> anos de escolaridade (26 pontos). A pontuação para os alfabetizados vai de 30 a 26 (função cognitiva preservada), 26 a 24 (alteração não sugestiva de déficit) e menor, igual a 23 (déficits cognitivos)</w:t>
      </w:r>
      <w:r w:rsidRPr="00E72E07">
        <w:rPr>
          <w:rFonts w:ascii="Times New Roman" w:hAnsi="Times New Roman"/>
          <w:color w:val="000000"/>
          <w:shd w:val="clear" w:color="auto" w:fill="F9FBFD"/>
        </w:rPr>
        <w:t xml:space="preserve">. Este instrumento foi validado no Brasil, sendo levado em consideração </w:t>
      </w:r>
      <w:r w:rsidR="005324EC" w:rsidRPr="00E72E07">
        <w:rPr>
          <w:rFonts w:ascii="Times New Roman" w:hAnsi="Times New Roman"/>
          <w:color w:val="000000"/>
          <w:shd w:val="clear" w:color="auto" w:fill="F9FBFD"/>
        </w:rPr>
        <w:t>à</w:t>
      </w:r>
      <w:r w:rsidRPr="00E72E07">
        <w:rPr>
          <w:rFonts w:ascii="Times New Roman" w:hAnsi="Times New Roman"/>
          <w:color w:val="000000"/>
          <w:shd w:val="clear" w:color="auto" w:fill="F9FBFD"/>
        </w:rPr>
        <w:t xml:space="preserve"> idade e o nível de escolaridade dos indivíduo</w:t>
      </w:r>
      <w:r w:rsidR="00F17123">
        <w:rPr>
          <w:rFonts w:ascii="Times New Roman" w:hAnsi="Times New Roman"/>
          <w:color w:val="000000"/>
          <w:shd w:val="clear" w:color="auto" w:fill="F9FBFD"/>
        </w:rPr>
        <w:t>s participantes da pesquisa</w:t>
      </w:r>
      <w:r w:rsidR="000033DF"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3</w:t>
      </w:r>
      <w:r w:rsidRPr="00E72E07">
        <w:rPr>
          <w:rFonts w:ascii="Times New Roman" w:hAnsi="Times New Roman"/>
          <w:color w:val="000000"/>
          <w:shd w:val="clear" w:color="auto" w:fill="F9FBFD"/>
        </w:rPr>
        <w:t xml:space="preserve">. </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A Medida de Independência Funcional (MIF) foi utilizada para medir o nível de independência funcional dos sujeitos e compreende um conjunto de 18 tarefas, referentes às </w:t>
      </w:r>
      <w:proofErr w:type="spellStart"/>
      <w:r w:rsidRPr="00E72E07">
        <w:rPr>
          <w:rFonts w:ascii="Times New Roman" w:hAnsi="Times New Roman"/>
          <w:color w:val="000000"/>
          <w:shd w:val="clear" w:color="auto" w:fill="F9FBFD"/>
        </w:rPr>
        <w:t>subescalas</w:t>
      </w:r>
      <w:proofErr w:type="spellEnd"/>
      <w:r w:rsidRPr="00E72E07">
        <w:rPr>
          <w:rFonts w:ascii="Times New Roman" w:hAnsi="Times New Roman"/>
          <w:color w:val="000000"/>
          <w:shd w:val="clear" w:color="auto" w:fill="F9FBFD"/>
        </w:rPr>
        <w:t xml:space="preserve"> de autocuidado, controle esfincteriano, transferências, locomoção, comunicação e cognição social. Cada item pode ser classificado em graus de dependência de sete níveis, sendo o valor um correspondente à dependência total e o valor de sete corresponde à normalidade na realização de tarefas de forma independente; assim a pon</w:t>
      </w:r>
      <w:r w:rsidR="00F17123">
        <w:rPr>
          <w:rFonts w:ascii="Times New Roman" w:hAnsi="Times New Roman"/>
          <w:color w:val="000000"/>
          <w:shd w:val="clear" w:color="auto" w:fill="F9FBFD"/>
        </w:rPr>
        <w:t>tuação total varia de 18 a 126</w:t>
      </w:r>
      <w:r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4</w:t>
      </w:r>
      <w:r w:rsidR="000033DF"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5</w:t>
      </w:r>
      <w:r w:rsidRPr="00E72E07">
        <w:rPr>
          <w:rFonts w:ascii="Times New Roman" w:hAnsi="Times New Roman"/>
          <w:color w:val="000000"/>
          <w:shd w:val="clear" w:color="auto" w:fill="F9FBFD"/>
        </w:rPr>
        <w:t xml:space="preserve">. </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O equilíbrio foi avaliado pela</w:t>
      </w:r>
      <w:r w:rsidR="000033DF">
        <w:rPr>
          <w:rFonts w:ascii="Times New Roman" w:hAnsi="Times New Roman"/>
          <w:color w:val="000000"/>
          <w:shd w:val="clear" w:color="auto" w:fill="F9FBFD"/>
        </w:rPr>
        <w:t xml:space="preserve"> Escala de Equilíbrio de Berg</w:t>
      </w:r>
      <w:r w:rsidRPr="00E72E07">
        <w:rPr>
          <w:rFonts w:ascii="Times New Roman" w:hAnsi="Times New Roman"/>
          <w:color w:val="000000"/>
          <w:shd w:val="clear" w:color="auto" w:fill="F9FBFD"/>
        </w:rPr>
        <w:t>. A escala compreende 14 tarefas onde cada uma recebe uma pontuação de 0 a 4 (</w:t>
      </w:r>
      <w:proofErr w:type="gramStart"/>
      <w:r w:rsidRPr="00E72E07">
        <w:rPr>
          <w:rFonts w:ascii="Times New Roman" w:hAnsi="Times New Roman"/>
          <w:color w:val="000000"/>
          <w:shd w:val="clear" w:color="auto" w:fill="F9FBFD"/>
        </w:rPr>
        <w:t>0</w:t>
      </w:r>
      <w:proofErr w:type="gramEnd"/>
      <w:r w:rsidRPr="00E72E07">
        <w:rPr>
          <w:rFonts w:ascii="Times New Roman" w:hAnsi="Times New Roman"/>
          <w:color w:val="000000"/>
          <w:shd w:val="clear" w:color="auto" w:fill="F9FBFD"/>
        </w:rPr>
        <w:t xml:space="preserve">, incapaz de realizar; 4, completa a tarefa) que classificam a qualidade do desempenho da tarefa, o tempo gasto para concluir a tarefa ou para manter-se em uma determinada postura. Somadas todas as atividades, obtém-se uma pontuação máxima de 56 pontos, sendo que de 0 a 20 são considerados indivíduos com equilíbrio pobre e de </w:t>
      </w:r>
      <w:r w:rsidR="00F17123">
        <w:rPr>
          <w:rFonts w:ascii="Times New Roman" w:hAnsi="Times New Roman"/>
          <w:color w:val="000000"/>
          <w:shd w:val="clear" w:color="auto" w:fill="F9FBFD"/>
        </w:rPr>
        <w:t>40 a 56, com um bom equilíbrio</w:t>
      </w:r>
      <w:r w:rsidR="005324EC" w:rsidRPr="00F17123">
        <w:rPr>
          <w:rFonts w:ascii="Times New Roman" w:hAnsi="Times New Roman"/>
          <w:color w:val="000000"/>
          <w:shd w:val="clear" w:color="auto" w:fill="F9FBFD"/>
          <w:vertAlign w:val="superscript"/>
        </w:rPr>
        <w:t>16</w:t>
      </w:r>
      <w:r w:rsidR="005324EC">
        <w:rPr>
          <w:rFonts w:ascii="Times New Roman" w:hAnsi="Times New Roman"/>
          <w:color w:val="000000"/>
          <w:shd w:val="clear" w:color="auto" w:fill="F9FBFD"/>
        </w:rPr>
        <w:t>.</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O comprometimento motor e sensitivo foi avaliado pela Escala de Desempenho Físico de </w:t>
      </w:r>
      <w:proofErr w:type="spellStart"/>
      <w:r w:rsidRPr="00E72E07">
        <w:rPr>
          <w:rFonts w:ascii="Times New Roman" w:hAnsi="Times New Roman"/>
          <w:color w:val="000000"/>
          <w:shd w:val="clear" w:color="auto" w:fill="F9FBFD"/>
        </w:rPr>
        <w:t>Fugl</w:t>
      </w:r>
      <w:proofErr w:type="spellEnd"/>
      <w:r w:rsidRPr="00E72E07">
        <w:rPr>
          <w:rFonts w:ascii="Times New Roman" w:hAnsi="Times New Roman"/>
          <w:color w:val="000000"/>
          <w:shd w:val="clear" w:color="auto" w:fill="F9FBFD"/>
        </w:rPr>
        <w:t xml:space="preserve">-Meyer. Esta escala possui um total de 226 pontos que são divididos em </w:t>
      </w:r>
      <w:proofErr w:type="gramStart"/>
      <w:r w:rsidRPr="00E72E07">
        <w:rPr>
          <w:rFonts w:ascii="Times New Roman" w:hAnsi="Times New Roman"/>
          <w:color w:val="000000"/>
          <w:shd w:val="clear" w:color="auto" w:fill="F9FBFD"/>
        </w:rPr>
        <w:t>5</w:t>
      </w:r>
      <w:proofErr w:type="gramEnd"/>
      <w:r w:rsidRPr="00E72E07">
        <w:rPr>
          <w:rFonts w:ascii="Times New Roman" w:hAnsi="Times New Roman"/>
          <w:color w:val="000000"/>
          <w:shd w:val="clear" w:color="auto" w:fill="F9FBFD"/>
        </w:rPr>
        <w:t xml:space="preserve"> </w:t>
      </w:r>
      <w:proofErr w:type="spellStart"/>
      <w:r w:rsidRPr="00E72E07">
        <w:rPr>
          <w:rFonts w:ascii="Times New Roman" w:hAnsi="Times New Roman"/>
          <w:color w:val="000000"/>
          <w:shd w:val="clear" w:color="auto" w:fill="F9FBFD"/>
        </w:rPr>
        <w:t>sub-itens</w:t>
      </w:r>
      <w:proofErr w:type="spellEnd"/>
      <w:r w:rsidRPr="00E72E07">
        <w:rPr>
          <w:rFonts w:ascii="Times New Roman" w:hAnsi="Times New Roman"/>
          <w:color w:val="000000"/>
          <w:shd w:val="clear" w:color="auto" w:fill="F9FBFD"/>
        </w:rPr>
        <w:t>: função motora (100 pontos no total, sendo 66 para membro superior e 34 para membro inferior), função sensorial (24</w:t>
      </w:r>
      <w:r w:rsidR="005324EC">
        <w:rPr>
          <w:rFonts w:ascii="Times New Roman" w:hAnsi="Times New Roman"/>
          <w:color w:val="000000"/>
          <w:shd w:val="clear" w:color="auto" w:fill="F9FBFD"/>
        </w:rPr>
        <w:t xml:space="preserve"> pontos</w:t>
      </w:r>
      <w:r w:rsidRPr="00E72E07">
        <w:rPr>
          <w:rFonts w:ascii="Times New Roman" w:hAnsi="Times New Roman"/>
          <w:color w:val="000000"/>
          <w:shd w:val="clear" w:color="auto" w:fill="F9FBFD"/>
        </w:rPr>
        <w:t>), equilíbrio (14</w:t>
      </w:r>
      <w:r w:rsidR="005324EC">
        <w:rPr>
          <w:rFonts w:ascii="Times New Roman" w:hAnsi="Times New Roman"/>
          <w:color w:val="000000"/>
          <w:shd w:val="clear" w:color="auto" w:fill="F9FBFD"/>
        </w:rPr>
        <w:t xml:space="preserve"> pontos</w:t>
      </w:r>
      <w:r w:rsidRPr="00E72E07">
        <w:rPr>
          <w:rFonts w:ascii="Times New Roman" w:hAnsi="Times New Roman"/>
          <w:color w:val="000000"/>
          <w:shd w:val="clear" w:color="auto" w:fill="F9FBFD"/>
        </w:rPr>
        <w:t>), amplitude de movimento (44</w:t>
      </w:r>
      <w:r w:rsidR="005324EC">
        <w:rPr>
          <w:rFonts w:ascii="Times New Roman" w:hAnsi="Times New Roman"/>
          <w:color w:val="000000"/>
          <w:shd w:val="clear" w:color="auto" w:fill="F9FBFD"/>
        </w:rPr>
        <w:t xml:space="preserve"> pontos</w:t>
      </w:r>
      <w:r w:rsidRPr="00E72E07">
        <w:rPr>
          <w:rFonts w:ascii="Times New Roman" w:hAnsi="Times New Roman"/>
          <w:color w:val="000000"/>
          <w:shd w:val="clear" w:color="auto" w:fill="F9FBFD"/>
        </w:rPr>
        <w:t>) e dor articular (44</w:t>
      </w:r>
      <w:r w:rsidR="005324EC">
        <w:rPr>
          <w:rFonts w:ascii="Times New Roman" w:hAnsi="Times New Roman"/>
          <w:color w:val="000000"/>
          <w:shd w:val="clear" w:color="auto" w:fill="F9FBFD"/>
        </w:rPr>
        <w:t xml:space="preserve"> pontos</w:t>
      </w:r>
      <w:r w:rsidRPr="00E72E07">
        <w:rPr>
          <w:rFonts w:ascii="Times New Roman" w:hAnsi="Times New Roman"/>
          <w:color w:val="000000"/>
          <w:shd w:val="clear" w:color="auto" w:fill="F9FBFD"/>
        </w:rPr>
        <w:t xml:space="preserve">). Cada um destes itens são pontuados por uma escala ordinal de </w:t>
      </w:r>
      <w:proofErr w:type="gramStart"/>
      <w:r w:rsidRPr="00E72E07">
        <w:rPr>
          <w:rFonts w:ascii="Times New Roman" w:hAnsi="Times New Roman"/>
          <w:color w:val="000000"/>
          <w:shd w:val="clear" w:color="auto" w:fill="F9FBFD"/>
        </w:rPr>
        <w:t>3</w:t>
      </w:r>
      <w:proofErr w:type="gramEnd"/>
      <w:r w:rsidRPr="00E72E07">
        <w:rPr>
          <w:rFonts w:ascii="Times New Roman" w:hAnsi="Times New Roman"/>
          <w:color w:val="000000"/>
          <w:shd w:val="clear" w:color="auto" w:fill="F9FBFD"/>
        </w:rPr>
        <w:t xml:space="preserve"> pontos (0 - não pode realizar, 1 - realiza parcialmente, 2 - realiza completamente). A função motora sugere a severidade </w:t>
      </w:r>
      <w:proofErr w:type="gramStart"/>
      <w:r w:rsidRPr="00E72E07">
        <w:rPr>
          <w:rFonts w:ascii="Times New Roman" w:hAnsi="Times New Roman"/>
          <w:color w:val="000000"/>
          <w:shd w:val="clear" w:color="auto" w:fill="F9FBFD"/>
        </w:rPr>
        <w:t>do AVE</w:t>
      </w:r>
      <w:proofErr w:type="gramEnd"/>
      <w:r w:rsidRPr="00E72E07">
        <w:rPr>
          <w:rFonts w:ascii="Times New Roman" w:hAnsi="Times New Roman"/>
          <w:color w:val="000000"/>
          <w:shd w:val="clear" w:color="auto" w:fill="F9FBFD"/>
        </w:rPr>
        <w:t xml:space="preserve">: 0 </w:t>
      </w:r>
      <w:r w:rsidRPr="00E72E07">
        <w:rPr>
          <w:rFonts w:ascii="Times New Roman" w:hAnsi="Times New Roman"/>
          <w:color w:val="000000"/>
          <w:shd w:val="clear" w:color="auto" w:fill="F9FBFD"/>
        </w:rPr>
        <w:lastRenderedPageBreak/>
        <w:t>– 35, comprometimento motor severo; 36-55, comprometimento motor severamente moderado; 56-79, comprometimento motor moderado; &gt; 8</w:t>
      </w:r>
      <w:r w:rsidR="00F17123">
        <w:rPr>
          <w:rFonts w:ascii="Times New Roman" w:hAnsi="Times New Roman"/>
          <w:color w:val="000000"/>
          <w:shd w:val="clear" w:color="auto" w:fill="F9FBFD"/>
        </w:rPr>
        <w:t xml:space="preserve">0, comprometimento motor leve </w:t>
      </w:r>
      <w:r w:rsidR="000033DF" w:rsidRPr="00F17123">
        <w:rPr>
          <w:rFonts w:ascii="Times New Roman" w:hAnsi="Times New Roman"/>
          <w:color w:val="000000"/>
          <w:shd w:val="clear" w:color="auto" w:fill="F9FBFD"/>
          <w:vertAlign w:val="superscript"/>
        </w:rPr>
        <w:t>1</w:t>
      </w:r>
      <w:r w:rsidR="00BB362E" w:rsidRPr="00F17123">
        <w:rPr>
          <w:rFonts w:ascii="Times New Roman" w:hAnsi="Times New Roman"/>
          <w:color w:val="000000"/>
          <w:shd w:val="clear" w:color="auto" w:fill="F9FBFD"/>
          <w:vertAlign w:val="superscript"/>
        </w:rPr>
        <w:t>7</w:t>
      </w:r>
      <w:r w:rsidRPr="00E72E07">
        <w:rPr>
          <w:rFonts w:ascii="Times New Roman" w:hAnsi="Times New Roman"/>
          <w:color w:val="000000"/>
          <w:shd w:val="clear" w:color="auto" w:fill="F9FBFD"/>
        </w:rPr>
        <w:t>.</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A escala de Categorias de Deambulação Funcional (</w:t>
      </w:r>
      <w:proofErr w:type="spellStart"/>
      <w:r w:rsidRPr="00E72E07">
        <w:rPr>
          <w:rFonts w:ascii="Times New Roman" w:hAnsi="Times New Roman"/>
          <w:color w:val="000000"/>
          <w:shd w:val="clear" w:color="auto" w:fill="F9FBFD"/>
        </w:rPr>
        <w:t>Functional</w:t>
      </w:r>
      <w:proofErr w:type="spellEnd"/>
      <w:r w:rsidRPr="00E72E07">
        <w:rPr>
          <w:rFonts w:ascii="Times New Roman" w:hAnsi="Times New Roman"/>
          <w:color w:val="000000"/>
          <w:shd w:val="clear" w:color="auto" w:fill="F9FBFD"/>
        </w:rPr>
        <w:t xml:space="preserve"> </w:t>
      </w:r>
      <w:proofErr w:type="spellStart"/>
      <w:r w:rsidRPr="00E72E07">
        <w:rPr>
          <w:rFonts w:ascii="Times New Roman" w:hAnsi="Times New Roman"/>
          <w:color w:val="000000"/>
          <w:shd w:val="clear" w:color="auto" w:fill="F9FBFD"/>
        </w:rPr>
        <w:t>Ambulatory</w:t>
      </w:r>
      <w:proofErr w:type="spellEnd"/>
      <w:r w:rsidRPr="00E72E07">
        <w:rPr>
          <w:rFonts w:ascii="Times New Roman" w:hAnsi="Times New Roman"/>
          <w:color w:val="000000"/>
          <w:shd w:val="clear" w:color="auto" w:fill="F9FBFD"/>
        </w:rPr>
        <w:t xml:space="preserve"> </w:t>
      </w:r>
      <w:proofErr w:type="spellStart"/>
      <w:r w:rsidRPr="00E72E07">
        <w:rPr>
          <w:rFonts w:ascii="Times New Roman" w:hAnsi="Times New Roman"/>
          <w:color w:val="000000"/>
          <w:shd w:val="clear" w:color="auto" w:fill="F9FBFD"/>
        </w:rPr>
        <w:t>Cathegory</w:t>
      </w:r>
      <w:proofErr w:type="spellEnd"/>
      <w:r w:rsidRPr="00E72E07">
        <w:rPr>
          <w:rFonts w:ascii="Times New Roman" w:hAnsi="Times New Roman"/>
          <w:color w:val="000000"/>
          <w:shd w:val="clear" w:color="auto" w:fill="F9FBFD"/>
        </w:rPr>
        <w:t xml:space="preserve"> – FAC) classifica a capacidade do paciente em deambular e é dividida em seis níveis: </w:t>
      </w:r>
      <w:proofErr w:type="gramStart"/>
      <w:r w:rsidRPr="00E72E07">
        <w:rPr>
          <w:rFonts w:ascii="Times New Roman" w:hAnsi="Times New Roman"/>
          <w:color w:val="000000"/>
          <w:shd w:val="clear" w:color="auto" w:fill="F9FBFD"/>
        </w:rPr>
        <w:t>0</w:t>
      </w:r>
      <w:proofErr w:type="gramEnd"/>
      <w:r w:rsidRPr="00E72E07">
        <w:rPr>
          <w:rFonts w:ascii="Times New Roman" w:hAnsi="Times New Roman"/>
          <w:color w:val="000000"/>
          <w:shd w:val="clear" w:color="auto" w:fill="F9FBFD"/>
        </w:rPr>
        <w:t>, o paciente não pode andar ou requer auxílio de duas ou mais pessoas; 1, O indivíduo precisa de suporte contínuo de uma pessoa que suporte seu peso e ajude com seus passos, equilíbrio e coordenação; 2, O indivíduo precisa de leve suporte (contínuo ou intermitente) de uma pessoa que ajude com o equilíbrio e coordenação; 3, O indivíduo deambula em superfície plana sem contato manual mas precisa de uma pessoa para supervisão ou dicas verbais; 4, O indivíduo pode deambular independente em superfície plana mas requer supervisão para escadas, rampas e superfícies irregulares; 5, O indivíduo pode andar independente em qua</w:t>
      </w:r>
      <w:r w:rsidR="00CE65EA">
        <w:rPr>
          <w:rFonts w:ascii="Times New Roman" w:hAnsi="Times New Roman"/>
          <w:color w:val="000000"/>
          <w:shd w:val="clear" w:color="auto" w:fill="F9FBFD"/>
        </w:rPr>
        <w:t>lquer lugar, incluindo escadas</w:t>
      </w:r>
      <w:r w:rsidR="000033DF" w:rsidRPr="00CE65EA">
        <w:rPr>
          <w:rFonts w:ascii="Times New Roman" w:hAnsi="Times New Roman"/>
          <w:color w:val="000000"/>
          <w:shd w:val="clear" w:color="auto" w:fill="F9FBFD"/>
          <w:vertAlign w:val="superscript"/>
        </w:rPr>
        <w:t>1</w:t>
      </w:r>
      <w:r w:rsidR="00BB362E" w:rsidRPr="00CE65EA">
        <w:rPr>
          <w:rFonts w:ascii="Times New Roman" w:hAnsi="Times New Roman"/>
          <w:color w:val="000000"/>
          <w:shd w:val="clear" w:color="auto" w:fill="F9FBFD"/>
          <w:vertAlign w:val="superscript"/>
        </w:rPr>
        <w:t>8</w:t>
      </w:r>
      <w:r w:rsidRPr="00E72E07">
        <w:rPr>
          <w:rFonts w:ascii="Times New Roman" w:hAnsi="Times New Roman"/>
          <w:color w:val="000000"/>
          <w:shd w:val="clear" w:color="auto" w:fill="F9FBFD"/>
        </w:rPr>
        <w:t>.</w:t>
      </w:r>
    </w:p>
    <w:p w:rsidR="00D623B4" w:rsidRPr="00E72E07" w:rsidRDefault="00D623B4" w:rsidP="00D623B4">
      <w:pPr>
        <w:pStyle w:val="SemEspaamento"/>
        <w:spacing w:line="360" w:lineRule="auto"/>
        <w:ind w:firstLine="708"/>
        <w:jc w:val="both"/>
        <w:rPr>
          <w:rFonts w:ascii="Times New Roman" w:hAnsi="Times New Roman"/>
        </w:rPr>
      </w:pPr>
      <w:r w:rsidRPr="00E72E07">
        <w:rPr>
          <w:rFonts w:ascii="Times New Roman" w:hAnsi="Times New Roman"/>
          <w:color w:val="000000"/>
          <w:shd w:val="clear" w:color="auto" w:fill="F9FBFD"/>
        </w:rPr>
        <w:t xml:space="preserve">A fim de analisar o equilíbrio dinâmico em conjunto com a velocidade da marcha utilizou-se o </w:t>
      </w:r>
      <w:proofErr w:type="spellStart"/>
      <w:r w:rsidRPr="00E72E07">
        <w:rPr>
          <w:rFonts w:ascii="Times New Roman" w:hAnsi="Times New Roman"/>
          <w:i/>
          <w:color w:val="000000"/>
          <w:shd w:val="clear" w:color="auto" w:fill="F9FBFD"/>
        </w:rPr>
        <w:t>Timed</w:t>
      </w:r>
      <w:proofErr w:type="spellEnd"/>
      <w:r w:rsidRPr="00E72E07">
        <w:rPr>
          <w:rFonts w:ascii="Times New Roman" w:hAnsi="Times New Roman"/>
          <w:i/>
          <w:color w:val="000000"/>
          <w:shd w:val="clear" w:color="auto" w:fill="F9FBFD"/>
        </w:rPr>
        <w:t xml:space="preserve"> </w:t>
      </w:r>
      <w:proofErr w:type="spellStart"/>
      <w:r w:rsidRPr="00E72E07">
        <w:rPr>
          <w:rFonts w:ascii="Times New Roman" w:hAnsi="Times New Roman"/>
          <w:i/>
          <w:color w:val="000000"/>
          <w:shd w:val="clear" w:color="auto" w:fill="F9FBFD"/>
        </w:rPr>
        <w:t>Up</w:t>
      </w:r>
      <w:proofErr w:type="spellEnd"/>
      <w:r w:rsidRPr="00E72E07">
        <w:rPr>
          <w:rFonts w:ascii="Times New Roman" w:hAnsi="Times New Roman"/>
          <w:i/>
          <w:color w:val="000000"/>
          <w:shd w:val="clear" w:color="auto" w:fill="F9FBFD"/>
        </w:rPr>
        <w:t xml:space="preserve"> </w:t>
      </w:r>
      <w:proofErr w:type="spellStart"/>
      <w:r w:rsidRPr="00E72E07">
        <w:rPr>
          <w:rFonts w:ascii="Times New Roman" w:hAnsi="Times New Roman"/>
          <w:i/>
          <w:color w:val="000000"/>
          <w:shd w:val="clear" w:color="auto" w:fill="F9FBFD"/>
        </w:rPr>
        <w:t>and</w:t>
      </w:r>
      <w:proofErr w:type="spellEnd"/>
      <w:r w:rsidRPr="00E72E07">
        <w:rPr>
          <w:rFonts w:ascii="Times New Roman" w:hAnsi="Times New Roman"/>
          <w:i/>
          <w:color w:val="000000"/>
          <w:shd w:val="clear" w:color="auto" w:fill="F9FBFD"/>
        </w:rPr>
        <w:t xml:space="preserve"> </w:t>
      </w:r>
      <w:proofErr w:type="gramStart"/>
      <w:r w:rsidRPr="00E72E07">
        <w:rPr>
          <w:rFonts w:ascii="Times New Roman" w:hAnsi="Times New Roman"/>
          <w:i/>
          <w:color w:val="000000"/>
          <w:shd w:val="clear" w:color="auto" w:fill="F9FBFD"/>
        </w:rPr>
        <w:t>Go</w:t>
      </w:r>
      <w:proofErr w:type="gramEnd"/>
      <w:r w:rsidRPr="00E72E07">
        <w:rPr>
          <w:rFonts w:ascii="Times New Roman" w:hAnsi="Times New Roman"/>
          <w:color w:val="000000"/>
          <w:shd w:val="clear" w:color="auto" w:fill="F9FBFD"/>
        </w:rPr>
        <w:t xml:space="preserve"> – TUG. O teste é realizado a partir de uma posição inicial sentada, com as costas apoiadas em uma cadeira, sem o auxílio dos membros superiores, e solicitado a andar um percurso linear de 3 metros até um ponto pré-determinado por uma marca no chão, girar 180°, retornar e sentar novamente, apoiando as costas na mesma cadeira. O paciente é instruído a realizar o teste usando seus calçados habituais, a não conversar durante a execução e a realizá-lo em velocidade normal, de forma segura. </w:t>
      </w:r>
      <w:proofErr w:type="gramStart"/>
      <w:r w:rsidRPr="00E72E07">
        <w:rPr>
          <w:rFonts w:ascii="Times New Roman" w:hAnsi="Times New Roman"/>
          <w:color w:val="000000"/>
          <w:shd w:val="clear" w:color="auto" w:fill="F9FBFD"/>
        </w:rPr>
        <w:t>São</w:t>
      </w:r>
      <w:proofErr w:type="gramEnd"/>
      <w:r w:rsidRPr="00E72E07">
        <w:rPr>
          <w:rFonts w:ascii="Times New Roman" w:hAnsi="Times New Roman"/>
          <w:color w:val="000000"/>
          <w:shd w:val="clear" w:color="auto" w:fill="F9FBFD"/>
        </w:rPr>
        <w:t xml:space="preserve"> verificados o número de passos dados durante o percurso (para cálculo de cadência: passos/minuto) e o tempo gasto na realização da tarefa (em segundos). Para tempo inferior a 20 segundos, o paciente apresenta baixo risco de quedas; entre 20 e 29 segundos, médio risco de quedas e acima de 30 se</w:t>
      </w:r>
      <w:r w:rsidR="00CE65EA">
        <w:rPr>
          <w:rFonts w:ascii="Times New Roman" w:hAnsi="Times New Roman"/>
          <w:color w:val="000000"/>
          <w:shd w:val="clear" w:color="auto" w:fill="F9FBFD"/>
        </w:rPr>
        <w:t xml:space="preserve">gundos, alto risco de quedas </w:t>
      </w:r>
      <w:r w:rsidR="000033DF" w:rsidRPr="00CE65EA">
        <w:rPr>
          <w:rFonts w:ascii="Times New Roman" w:hAnsi="Times New Roman"/>
          <w:color w:val="000000"/>
          <w:shd w:val="clear" w:color="auto" w:fill="F9FBFD"/>
          <w:vertAlign w:val="superscript"/>
        </w:rPr>
        <w:t>2</w:t>
      </w:r>
      <w:r w:rsidR="00BB362E" w:rsidRPr="00CE65EA">
        <w:rPr>
          <w:rFonts w:ascii="Times New Roman" w:hAnsi="Times New Roman"/>
          <w:color w:val="000000"/>
          <w:shd w:val="clear" w:color="auto" w:fill="F9FBFD"/>
          <w:vertAlign w:val="superscript"/>
        </w:rPr>
        <w:t>0</w:t>
      </w:r>
      <w:r w:rsidRPr="00E72E07">
        <w:rPr>
          <w:rFonts w:ascii="Times New Roman" w:hAnsi="Times New Roman"/>
          <w:color w:val="000000"/>
          <w:shd w:val="clear" w:color="auto" w:fill="F9FBFD"/>
        </w:rPr>
        <w:t>.</w:t>
      </w:r>
    </w:p>
    <w:p w:rsidR="005324EC"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color w:val="000000"/>
          <w:shd w:val="clear" w:color="auto" w:fill="F9FBFD"/>
        </w:rPr>
        <w:t xml:space="preserve">O estudo foi aprovado pelo Comitê de Ética da UFRN </w:t>
      </w:r>
      <w:r w:rsidRPr="00E72E07">
        <w:rPr>
          <w:rFonts w:ascii="Times New Roman" w:hAnsi="Times New Roman"/>
        </w:rPr>
        <w:t>(#060/2011</w:t>
      </w:r>
      <w:r w:rsidRPr="00E72E07">
        <w:rPr>
          <w:rFonts w:ascii="Times New Roman" w:hAnsi="Times New Roman"/>
          <w:color w:val="000000"/>
          <w:shd w:val="clear" w:color="auto" w:fill="F9FBFD"/>
        </w:rPr>
        <w:t>) e os sujeitos que concordaram em participar do estudo assinaram um Termo de Consentimento Livre e Esclarecido.</w:t>
      </w:r>
    </w:p>
    <w:p w:rsidR="00D623B4" w:rsidRPr="00E72E07" w:rsidRDefault="00D623B4" w:rsidP="00D623B4">
      <w:pPr>
        <w:pStyle w:val="SemEspaamento"/>
        <w:spacing w:line="360" w:lineRule="auto"/>
        <w:ind w:firstLine="708"/>
        <w:jc w:val="both"/>
        <w:rPr>
          <w:rFonts w:ascii="Times New Roman" w:hAnsi="Times New Roman"/>
          <w:color w:val="000000"/>
          <w:shd w:val="clear" w:color="auto" w:fill="F9FBFD"/>
        </w:rPr>
      </w:pPr>
      <w:r w:rsidRPr="00E72E07">
        <w:rPr>
          <w:rFonts w:ascii="Times New Roman" w:hAnsi="Times New Roman"/>
        </w:rPr>
        <w:t xml:space="preserve">Os dados coletados foram </w:t>
      </w:r>
      <w:r w:rsidR="005324EC">
        <w:rPr>
          <w:rFonts w:ascii="Times New Roman" w:hAnsi="Times New Roman"/>
        </w:rPr>
        <w:t xml:space="preserve">tabulados no software Microsoft Office Excel e posteriormente </w:t>
      </w:r>
      <w:r w:rsidRPr="00E72E07">
        <w:rPr>
          <w:rFonts w:ascii="Times New Roman" w:hAnsi="Times New Roman"/>
        </w:rPr>
        <w:t xml:space="preserve">analisados de forma descritiva através do </w:t>
      </w:r>
      <w:proofErr w:type="spellStart"/>
      <w:proofErr w:type="gramStart"/>
      <w:r w:rsidRPr="00E72E07">
        <w:rPr>
          <w:rFonts w:ascii="Times New Roman" w:hAnsi="Times New Roman"/>
        </w:rPr>
        <w:t>BioEstat</w:t>
      </w:r>
      <w:proofErr w:type="spellEnd"/>
      <w:proofErr w:type="gramEnd"/>
      <w:r w:rsidRPr="00E72E07">
        <w:rPr>
          <w:rFonts w:ascii="Times New Roman" w:hAnsi="Times New Roman"/>
        </w:rPr>
        <w:t xml:space="preserve"> 5.0. Foram calculados os valores de frequência absoluta (n) e percentual (%) das variáveis categóricas, a média e o desvio padrão das variáveis contínuas.</w:t>
      </w:r>
    </w:p>
    <w:p w:rsidR="00D623B4" w:rsidRPr="00E72E07" w:rsidRDefault="00D623B4" w:rsidP="00D623B4">
      <w:pPr>
        <w:pStyle w:val="SemEspaamento"/>
        <w:spacing w:line="360" w:lineRule="auto"/>
        <w:jc w:val="both"/>
        <w:rPr>
          <w:rFonts w:ascii="Times New Roman" w:hAnsi="Times New Roman"/>
          <w:b/>
        </w:rPr>
      </w:pPr>
    </w:p>
    <w:p w:rsidR="00D623B4" w:rsidRDefault="00D623B4" w:rsidP="00D623B4">
      <w:pPr>
        <w:pStyle w:val="SemEspaamento"/>
        <w:spacing w:line="360" w:lineRule="auto"/>
        <w:jc w:val="both"/>
        <w:rPr>
          <w:rFonts w:ascii="Times New Roman" w:hAnsi="Times New Roman"/>
          <w:b/>
        </w:rPr>
      </w:pPr>
      <w:r w:rsidRPr="00E72E07">
        <w:rPr>
          <w:rFonts w:ascii="Times New Roman" w:hAnsi="Times New Roman"/>
          <w:b/>
        </w:rPr>
        <w:t>RESULTADOS</w:t>
      </w:r>
    </w:p>
    <w:p w:rsidR="007132C3" w:rsidRPr="00E72E07" w:rsidRDefault="007132C3" w:rsidP="00D623B4">
      <w:pPr>
        <w:pStyle w:val="SemEspaamento"/>
        <w:spacing w:line="360" w:lineRule="auto"/>
        <w:jc w:val="both"/>
        <w:rPr>
          <w:rFonts w:ascii="Times New Roman" w:hAnsi="Times New Roman"/>
          <w:b/>
        </w:rPr>
      </w:pPr>
    </w:p>
    <w:p w:rsidR="00D623B4" w:rsidRDefault="00D623B4" w:rsidP="00865D6B">
      <w:pPr>
        <w:pStyle w:val="SemEspaamento"/>
        <w:spacing w:line="360" w:lineRule="auto"/>
        <w:ind w:firstLine="708"/>
        <w:jc w:val="both"/>
        <w:rPr>
          <w:rFonts w:ascii="Times New Roman" w:hAnsi="Times New Roman"/>
          <w:color w:val="000000"/>
        </w:rPr>
      </w:pPr>
      <w:r w:rsidRPr="00E72E07">
        <w:rPr>
          <w:rFonts w:ascii="Times New Roman" w:hAnsi="Times New Roman"/>
          <w:color w:val="000000"/>
        </w:rPr>
        <w:t xml:space="preserve">Foram encontrados e notificados 97 casos de AVE em todas as UBS/ESF de Santa Cruz/RN, porém, somente 39 indivíduos preencheram os critérios de inclusão. Dos 58 excluídos, 15 se </w:t>
      </w:r>
      <w:r w:rsidRPr="00865D6B">
        <w:rPr>
          <w:rFonts w:ascii="Times New Roman" w:hAnsi="Times New Roman"/>
          <w:color w:val="000000"/>
        </w:rPr>
        <w:t>enquadraram nos critérios de exclusão, 02 desistiram de participar do estudo e 41 mudaram de cidade</w:t>
      </w:r>
      <w:r w:rsidR="005324EC">
        <w:rPr>
          <w:rFonts w:ascii="Times New Roman" w:hAnsi="Times New Roman"/>
          <w:color w:val="000000"/>
        </w:rPr>
        <w:t>.</w:t>
      </w:r>
    </w:p>
    <w:p w:rsidR="00D623B4" w:rsidRPr="00E72E07" w:rsidRDefault="00865D6B" w:rsidP="00865D6B">
      <w:pPr>
        <w:autoSpaceDE w:val="0"/>
        <w:autoSpaceDN w:val="0"/>
        <w:adjustRightInd w:val="0"/>
        <w:spacing w:after="0" w:line="360" w:lineRule="auto"/>
        <w:ind w:firstLine="708"/>
        <w:jc w:val="both"/>
        <w:rPr>
          <w:rFonts w:ascii="Times New Roman" w:hAnsi="Times New Roman"/>
          <w:lang w:eastAsia="pt-BR"/>
        </w:rPr>
      </w:pPr>
      <w:r w:rsidRPr="00865D6B">
        <w:rPr>
          <w:rFonts w:ascii="Times New Roman" w:hAnsi="Times New Roman"/>
          <w:lang w:eastAsia="pt-BR"/>
        </w:rPr>
        <w:t xml:space="preserve">A distribuição dos indivíduos com AVE segundo os fatores </w:t>
      </w:r>
      <w:proofErr w:type="spellStart"/>
      <w:r w:rsidRPr="00865D6B">
        <w:rPr>
          <w:rFonts w:ascii="Times New Roman" w:hAnsi="Times New Roman"/>
          <w:lang w:eastAsia="pt-BR"/>
        </w:rPr>
        <w:t>sócio-demográficos</w:t>
      </w:r>
      <w:proofErr w:type="spellEnd"/>
      <w:r w:rsidRPr="00865D6B">
        <w:rPr>
          <w:rFonts w:ascii="Times New Roman" w:hAnsi="Times New Roman"/>
          <w:lang w:eastAsia="pt-BR"/>
        </w:rPr>
        <w:t xml:space="preserve"> está descrita na Tabela 1.</w:t>
      </w:r>
      <w:r>
        <w:rPr>
          <w:rFonts w:ascii="Times New Roman" w:hAnsi="Times New Roman"/>
          <w:lang w:eastAsia="pt-BR"/>
        </w:rPr>
        <w:t xml:space="preserve"> </w:t>
      </w:r>
      <w:r w:rsidR="00D623B4" w:rsidRPr="00865D6B">
        <w:rPr>
          <w:rFonts w:ascii="Times New Roman" w:hAnsi="Times New Roman"/>
        </w:rPr>
        <w:t>Os resultados encontrados apontam para predominância feminina (56,41%), sendo o estado civil mais prevalente o casado (58,</w:t>
      </w:r>
      <w:r w:rsidR="00D623B4" w:rsidRPr="00E72E07">
        <w:rPr>
          <w:rFonts w:ascii="Times New Roman" w:hAnsi="Times New Roman"/>
        </w:rPr>
        <w:t xml:space="preserve">97%). A média de idade dos indivíduos foi de 68,94 anos (±14,01). O nível de escolaridade predominante foi o de analfabetos (46,15%). A raça foi </w:t>
      </w:r>
      <w:proofErr w:type="spellStart"/>
      <w:r w:rsidR="00D623B4" w:rsidRPr="00E72E07">
        <w:rPr>
          <w:rFonts w:ascii="Times New Roman" w:hAnsi="Times New Roman"/>
        </w:rPr>
        <w:t>autoreferida</w:t>
      </w:r>
      <w:proofErr w:type="spellEnd"/>
      <w:r w:rsidR="00D623B4" w:rsidRPr="00E72E07">
        <w:rPr>
          <w:rFonts w:ascii="Times New Roman" w:hAnsi="Times New Roman"/>
        </w:rPr>
        <w:t xml:space="preserve"> </w:t>
      </w:r>
      <w:r w:rsidR="00D623B4" w:rsidRPr="00E72E07">
        <w:rPr>
          <w:rFonts w:ascii="Times New Roman" w:hAnsi="Times New Roman"/>
        </w:rPr>
        <w:lastRenderedPageBreak/>
        <w:t xml:space="preserve">e 58,97% </w:t>
      </w:r>
      <w:proofErr w:type="gramStart"/>
      <w:r w:rsidR="00D623B4" w:rsidRPr="00E72E07">
        <w:rPr>
          <w:rFonts w:ascii="Times New Roman" w:hAnsi="Times New Roman"/>
        </w:rPr>
        <w:t>denominou-se</w:t>
      </w:r>
      <w:proofErr w:type="gramEnd"/>
      <w:r w:rsidR="00D623B4" w:rsidRPr="00E72E07">
        <w:rPr>
          <w:rFonts w:ascii="Times New Roman" w:hAnsi="Times New Roman"/>
        </w:rPr>
        <w:t xml:space="preserve"> como pardos. A agricultura representou a princ</w:t>
      </w:r>
      <w:r>
        <w:rPr>
          <w:rFonts w:ascii="Times New Roman" w:hAnsi="Times New Roman"/>
        </w:rPr>
        <w:t xml:space="preserve">ipal fonte de ocupação (41,03%) e como era de se esperar, para a faixa etária encontrada, </w:t>
      </w:r>
      <w:proofErr w:type="gramStart"/>
      <w:r>
        <w:rPr>
          <w:rFonts w:ascii="Times New Roman" w:hAnsi="Times New Roman"/>
        </w:rPr>
        <w:t>cerca de</w:t>
      </w:r>
      <w:r w:rsidR="00D623B4" w:rsidRPr="00E72E07">
        <w:rPr>
          <w:rFonts w:ascii="Times New Roman" w:hAnsi="Times New Roman"/>
        </w:rPr>
        <w:t xml:space="preserve"> 71,79</w:t>
      </w:r>
      <w:proofErr w:type="gramEnd"/>
      <w:r w:rsidR="00D623B4" w:rsidRPr="00E72E07">
        <w:rPr>
          <w:rFonts w:ascii="Times New Roman" w:hAnsi="Times New Roman"/>
        </w:rPr>
        <w:t>% eram aposentados e residentes de casa própria (84,62%) (Tabela 1).</w:t>
      </w:r>
    </w:p>
    <w:p w:rsidR="00D623B4" w:rsidRDefault="00D623B4"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Pr="00E72E07" w:rsidRDefault="00E72E07" w:rsidP="00E72E07">
      <w:pPr>
        <w:autoSpaceDE w:val="0"/>
        <w:autoSpaceDN w:val="0"/>
        <w:adjustRightInd w:val="0"/>
        <w:spacing w:after="0" w:line="360" w:lineRule="auto"/>
        <w:jc w:val="both"/>
        <w:rPr>
          <w:rFonts w:ascii="Times New Roman" w:hAnsi="Times New Roman"/>
        </w:rPr>
      </w:pPr>
    </w:p>
    <w:p w:rsidR="00D623B4" w:rsidRPr="00E72E07" w:rsidRDefault="00E72E07" w:rsidP="00D623B4">
      <w:pPr>
        <w:autoSpaceDE w:val="0"/>
        <w:autoSpaceDN w:val="0"/>
        <w:adjustRightInd w:val="0"/>
        <w:spacing w:after="0" w:line="360" w:lineRule="auto"/>
        <w:jc w:val="both"/>
        <w:rPr>
          <w:rFonts w:ascii="Times New Roman" w:hAnsi="Times New Roman"/>
        </w:rPr>
      </w:pPr>
      <w:r>
        <w:rPr>
          <w:rFonts w:ascii="Times New Roman" w:hAnsi="Times New Roman"/>
        </w:rPr>
        <w:t xml:space="preserve">Tabela 1. Caracterização dos indivíduos com AVE de acordo com os aspectos </w:t>
      </w:r>
      <w:proofErr w:type="spellStart"/>
      <w:r>
        <w:rPr>
          <w:rFonts w:ascii="Times New Roman" w:hAnsi="Times New Roman"/>
        </w:rPr>
        <w:t>sócio</w:t>
      </w:r>
      <w:r w:rsidR="00865D6B">
        <w:rPr>
          <w:rFonts w:ascii="Times New Roman" w:hAnsi="Times New Roman"/>
        </w:rPr>
        <w:t>-demográficos</w:t>
      </w:r>
      <w:proofErr w:type="spellEnd"/>
      <w:r w:rsidR="00865D6B">
        <w:rPr>
          <w:rFonts w:ascii="Times New Roman" w:hAnsi="Times New Roman"/>
        </w:rPr>
        <w:t>.</w:t>
      </w:r>
      <w:r>
        <w:rPr>
          <w:rFonts w:ascii="Times New Roman" w:hAnsi="Times New Roman"/>
        </w:rPr>
        <w:t xml:space="preserve"> Santa Cruz – Rio Grande do Norte, Brasil.</w:t>
      </w:r>
    </w:p>
    <w:tbl>
      <w:tblPr>
        <w:tblpPr w:leftFromText="141" w:rightFromText="141" w:vertAnchor="text" w:horzAnchor="margin" w:tblpY="150"/>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1"/>
        <w:gridCol w:w="1971"/>
        <w:gridCol w:w="284"/>
        <w:gridCol w:w="371"/>
        <w:gridCol w:w="2039"/>
      </w:tblGrid>
      <w:tr w:rsidR="001E43A2" w:rsidRPr="00E72E07" w:rsidTr="00FF460E">
        <w:trPr>
          <w:trHeight w:val="150"/>
        </w:trPr>
        <w:tc>
          <w:tcPr>
            <w:tcW w:w="3472" w:type="dxa"/>
            <w:gridSpan w:val="2"/>
            <w:tcBorders>
              <w:top w:val="single" w:sz="24" w:space="0" w:color="auto"/>
              <w:left w:val="nil"/>
              <w:bottom w:val="single" w:sz="4" w:space="0" w:color="auto"/>
              <w:right w:val="nil"/>
            </w:tcBorders>
          </w:tcPr>
          <w:p w:rsidR="001E43A2" w:rsidRPr="00E72E07" w:rsidRDefault="001E43A2" w:rsidP="001E43A2">
            <w:pPr>
              <w:spacing w:after="0" w:line="240" w:lineRule="auto"/>
              <w:jc w:val="center"/>
              <w:rPr>
                <w:rFonts w:ascii="Times New Roman" w:hAnsi="Times New Roman"/>
                <w:b/>
                <w:bCs/>
              </w:rPr>
            </w:pPr>
            <w:r w:rsidRPr="00E72E07">
              <w:rPr>
                <w:rFonts w:ascii="Times New Roman" w:hAnsi="Times New Roman"/>
                <w:b/>
                <w:bCs/>
              </w:rPr>
              <w:t>Variáveis</w:t>
            </w:r>
          </w:p>
        </w:tc>
        <w:tc>
          <w:tcPr>
            <w:tcW w:w="655" w:type="dxa"/>
            <w:gridSpan w:val="2"/>
            <w:tcBorders>
              <w:top w:val="single" w:sz="24" w:space="0" w:color="auto"/>
              <w:left w:val="nil"/>
              <w:bottom w:val="single" w:sz="4" w:space="0" w:color="auto"/>
              <w:right w:val="nil"/>
            </w:tcBorders>
          </w:tcPr>
          <w:p w:rsidR="001E43A2" w:rsidRPr="00E72E07" w:rsidRDefault="001E43A2" w:rsidP="001E43A2">
            <w:pPr>
              <w:spacing w:after="0" w:line="240" w:lineRule="auto"/>
              <w:jc w:val="center"/>
              <w:rPr>
                <w:rFonts w:ascii="Times New Roman" w:hAnsi="Times New Roman"/>
                <w:b/>
                <w:bCs/>
                <w:lang w:val="en-US"/>
              </w:rPr>
            </w:pPr>
            <w:r>
              <w:rPr>
                <w:rFonts w:ascii="Times New Roman" w:hAnsi="Times New Roman"/>
                <w:b/>
                <w:bCs/>
                <w:lang w:val="en-US"/>
              </w:rPr>
              <w:t>n</w:t>
            </w:r>
          </w:p>
        </w:tc>
        <w:tc>
          <w:tcPr>
            <w:tcW w:w="2039" w:type="dxa"/>
            <w:tcBorders>
              <w:top w:val="single" w:sz="24" w:space="0" w:color="auto"/>
              <w:left w:val="nil"/>
              <w:bottom w:val="single" w:sz="4" w:space="0" w:color="auto"/>
              <w:right w:val="nil"/>
            </w:tcBorders>
          </w:tcPr>
          <w:p w:rsidR="001E43A2" w:rsidRPr="00E72E07" w:rsidRDefault="001E43A2" w:rsidP="001E43A2">
            <w:pPr>
              <w:spacing w:after="0" w:line="240" w:lineRule="auto"/>
              <w:jc w:val="center"/>
              <w:rPr>
                <w:rFonts w:ascii="Times New Roman" w:hAnsi="Times New Roman"/>
                <w:b/>
                <w:bCs/>
                <w:lang w:val="en-US"/>
              </w:rPr>
            </w:pPr>
            <w:r>
              <w:rPr>
                <w:rFonts w:ascii="Times New Roman" w:hAnsi="Times New Roman"/>
                <w:b/>
                <w:bCs/>
                <w:lang w:val="en-US"/>
              </w:rPr>
              <w:t>%</w:t>
            </w:r>
          </w:p>
        </w:tc>
      </w:tr>
      <w:tr w:rsidR="001E43A2" w:rsidRPr="00E72E07" w:rsidTr="00FF460E">
        <w:trPr>
          <w:trHeight w:val="239"/>
        </w:trPr>
        <w:tc>
          <w:tcPr>
            <w:tcW w:w="1501" w:type="dxa"/>
            <w:vMerge w:val="restart"/>
            <w:tcBorders>
              <w:left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Gênero</w:t>
            </w:r>
            <w:proofErr w:type="spellEnd"/>
          </w:p>
        </w:tc>
        <w:tc>
          <w:tcPr>
            <w:tcW w:w="1971" w:type="dxa"/>
            <w:tcBorders>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Feminino</w:t>
            </w:r>
            <w:proofErr w:type="spellEnd"/>
          </w:p>
        </w:tc>
        <w:tc>
          <w:tcPr>
            <w:tcW w:w="655" w:type="dxa"/>
            <w:gridSpan w:val="2"/>
            <w:tcBorders>
              <w:left w:val="nil"/>
              <w:bottom w:val="nil"/>
              <w:right w:val="nil"/>
            </w:tcBorders>
          </w:tcPr>
          <w:p w:rsidR="001E43A2" w:rsidRPr="000E5BA4" w:rsidRDefault="000E5BA4" w:rsidP="00FF460E">
            <w:pPr>
              <w:spacing w:after="0" w:line="240" w:lineRule="auto"/>
              <w:jc w:val="center"/>
              <w:rPr>
                <w:rFonts w:ascii="Times New Roman" w:hAnsi="Times New Roman"/>
                <w:bCs/>
                <w:lang w:val="en-US"/>
              </w:rPr>
            </w:pPr>
            <w:r w:rsidRPr="000E5BA4">
              <w:rPr>
                <w:rFonts w:ascii="Times New Roman" w:hAnsi="Times New Roman"/>
                <w:bCs/>
                <w:lang w:val="en-US"/>
              </w:rPr>
              <w:t>22</w:t>
            </w:r>
          </w:p>
        </w:tc>
        <w:tc>
          <w:tcPr>
            <w:tcW w:w="2039" w:type="dxa"/>
            <w:tcBorders>
              <w:left w:val="nil"/>
              <w:bottom w:val="nil"/>
              <w:right w:val="nil"/>
            </w:tcBorders>
          </w:tcPr>
          <w:p w:rsidR="001E43A2" w:rsidRPr="00E72E07" w:rsidRDefault="001E43A2" w:rsidP="00FF460E">
            <w:pPr>
              <w:spacing w:after="0" w:line="240" w:lineRule="auto"/>
              <w:jc w:val="center"/>
              <w:rPr>
                <w:rFonts w:ascii="Times New Roman" w:hAnsi="Times New Roman"/>
                <w:b/>
                <w:bCs/>
                <w:lang w:val="en-US"/>
              </w:rPr>
            </w:pPr>
            <w:r>
              <w:rPr>
                <w:rFonts w:ascii="Times New Roman" w:hAnsi="Times New Roman"/>
              </w:rPr>
              <w:t>56,41</w:t>
            </w:r>
          </w:p>
        </w:tc>
      </w:tr>
      <w:tr w:rsidR="001E43A2" w:rsidRPr="00E72E07" w:rsidTr="00FF460E">
        <w:trPr>
          <w:trHeight w:val="265"/>
        </w:trPr>
        <w:tc>
          <w:tcPr>
            <w:tcW w:w="1501" w:type="dxa"/>
            <w:vMerge/>
            <w:tcBorders>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
        </w:tc>
        <w:tc>
          <w:tcPr>
            <w:tcW w:w="1971" w:type="dxa"/>
            <w:tcBorders>
              <w:top w:val="nil"/>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Masculino</w:t>
            </w:r>
            <w:proofErr w:type="spellEnd"/>
          </w:p>
        </w:tc>
        <w:tc>
          <w:tcPr>
            <w:tcW w:w="655" w:type="dxa"/>
            <w:gridSpan w:val="2"/>
            <w:tcBorders>
              <w:top w:val="nil"/>
              <w:left w:val="nil"/>
              <w:bottom w:val="single" w:sz="4" w:space="0" w:color="auto"/>
              <w:right w:val="nil"/>
            </w:tcBorders>
          </w:tcPr>
          <w:p w:rsidR="001E43A2" w:rsidRPr="00E72E07" w:rsidRDefault="000E5BA4" w:rsidP="00FF460E">
            <w:pPr>
              <w:spacing w:after="0" w:line="240" w:lineRule="auto"/>
              <w:jc w:val="center"/>
              <w:rPr>
                <w:rFonts w:ascii="Times New Roman" w:hAnsi="Times New Roman"/>
                <w:bCs/>
                <w:lang w:val="en-US"/>
              </w:rPr>
            </w:pPr>
            <w:r>
              <w:rPr>
                <w:rFonts w:ascii="Times New Roman" w:hAnsi="Times New Roman"/>
                <w:bCs/>
                <w:lang w:val="en-US"/>
              </w:rPr>
              <w:t>17</w:t>
            </w:r>
          </w:p>
        </w:tc>
        <w:tc>
          <w:tcPr>
            <w:tcW w:w="2039" w:type="dxa"/>
            <w:tcBorders>
              <w:top w:val="nil"/>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bCs/>
                <w:lang w:val="en-US"/>
              </w:rPr>
            </w:pPr>
            <w:r>
              <w:rPr>
                <w:rFonts w:ascii="Times New Roman" w:hAnsi="Times New Roman"/>
              </w:rPr>
              <w:t>43,59</w:t>
            </w:r>
          </w:p>
        </w:tc>
      </w:tr>
      <w:tr w:rsidR="001E43A2" w:rsidRPr="00E72E07" w:rsidTr="00FF460E">
        <w:trPr>
          <w:trHeight w:val="276"/>
        </w:trPr>
        <w:tc>
          <w:tcPr>
            <w:tcW w:w="1501" w:type="dxa"/>
            <w:tcBorders>
              <w:top w:val="single" w:sz="4" w:space="0" w:color="auto"/>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Idade</w:t>
            </w:r>
            <w:proofErr w:type="spellEnd"/>
            <w:r>
              <w:rPr>
                <w:rFonts w:ascii="Times New Roman" w:hAnsi="Times New Roman"/>
                <w:bCs/>
                <w:lang w:val="en-US"/>
              </w:rPr>
              <w:t xml:space="preserve"> (</w:t>
            </w:r>
            <w:proofErr w:type="spellStart"/>
            <w:r>
              <w:rPr>
                <w:rFonts w:ascii="Times New Roman" w:hAnsi="Times New Roman"/>
                <w:bCs/>
                <w:lang w:val="en-US"/>
              </w:rPr>
              <w:t>Anos</w:t>
            </w:r>
            <w:proofErr w:type="spellEnd"/>
            <w:r>
              <w:rPr>
                <w:rFonts w:ascii="Times New Roman" w:hAnsi="Times New Roman"/>
                <w:bCs/>
                <w:lang w:val="en-US"/>
              </w:rPr>
              <w:t>)</w:t>
            </w:r>
          </w:p>
        </w:tc>
        <w:tc>
          <w:tcPr>
            <w:tcW w:w="4665" w:type="dxa"/>
            <w:gridSpan w:val="4"/>
            <w:tcBorders>
              <w:top w:val="single" w:sz="4" w:space="0" w:color="auto"/>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68,94±14,01</w:t>
            </w:r>
          </w:p>
        </w:tc>
      </w:tr>
      <w:tr w:rsidR="001E43A2" w:rsidRPr="00E72E07" w:rsidTr="00FF460E">
        <w:trPr>
          <w:trHeight w:val="141"/>
        </w:trPr>
        <w:tc>
          <w:tcPr>
            <w:tcW w:w="1501" w:type="dxa"/>
            <w:vMerge w:val="restart"/>
            <w:tcBorders>
              <w:top w:val="single" w:sz="4" w:space="0" w:color="auto"/>
              <w:left w:val="nil"/>
              <w:right w:val="nil"/>
            </w:tcBorders>
          </w:tcPr>
          <w:p w:rsidR="0028114D" w:rsidRDefault="0028114D" w:rsidP="00FF460E">
            <w:pPr>
              <w:spacing w:after="0" w:line="240" w:lineRule="auto"/>
              <w:jc w:val="center"/>
              <w:rPr>
                <w:rFonts w:ascii="Times New Roman" w:hAnsi="Times New Roman"/>
                <w:bCs/>
                <w:lang w:val="en-US"/>
              </w:rPr>
            </w:pPr>
          </w:p>
          <w:p w:rsidR="001E43A2" w:rsidRPr="00414E5E" w:rsidRDefault="001E43A2" w:rsidP="00FF460E">
            <w:pPr>
              <w:spacing w:after="0" w:line="240" w:lineRule="auto"/>
              <w:jc w:val="center"/>
              <w:rPr>
                <w:rFonts w:ascii="Times New Roman" w:hAnsi="Times New Roman"/>
                <w:bCs/>
                <w:lang w:val="en-US"/>
              </w:rPr>
            </w:pPr>
            <w:r w:rsidRPr="00414E5E">
              <w:rPr>
                <w:rFonts w:ascii="Times New Roman" w:hAnsi="Times New Roman"/>
                <w:bCs/>
                <w:lang w:val="en-US"/>
              </w:rPr>
              <w:t>Estado Civil</w:t>
            </w:r>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Casado</w:t>
            </w:r>
            <w:proofErr w:type="spellEnd"/>
          </w:p>
        </w:tc>
        <w:tc>
          <w:tcPr>
            <w:tcW w:w="371" w:type="dxa"/>
            <w:tcBorders>
              <w:top w:val="single" w:sz="4" w:space="0" w:color="auto"/>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23</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58,97</w:t>
            </w:r>
          </w:p>
        </w:tc>
      </w:tr>
      <w:tr w:rsidR="001E43A2" w:rsidRPr="00E72E07" w:rsidTr="00FF460E">
        <w:trPr>
          <w:trHeight w:val="203"/>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Viúvo</w:t>
            </w:r>
            <w:proofErr w:type="spellEnd"/>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11</w:t>
            </w:r>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28,21</w:t>
            </w:r>
          </w:p>
        </w:tc>
      </w:tr>
      <w:tr w:rsidR="001E43A2" w:rsidRPr="00E72E07" w:rsidTr="00FF460E">
        <w:trPr>
          <w:trHeight w:val="196"/>
        </w:trPr>
        <w:tc>
          <w:tcPr>
            <w:tcW w:w="1501" w:type="dxa"/>
            <w:vMerge/>
            <w:tcBorders>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Solteiro</w:t>
            </w:r>
            <w:proofErr w:type="spellEnd"/>
          </w:p>
        </w:tc>
        <w:tc>
          <w:tcPr>
            <w:tcW w:w="371" w:type="dxa"/>
            <w:tcBorders>
              <w:top w:val="nil"/>
              <w:left w:val="nil"/>
              <w:bottom w:val="single" w:sz="4" w:space="0" w:color="auto"/>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5</w:t>
            </w:r>
            <w:proofErr w:type="gramEnd"/>
          </w:p>
        </w:tc>
        <w:tc>
          <w:tcPr>
            <w:tcW w:w="2039" w:type="dxa"/>
            <w:tcBorders>
              <w:top w:val="nil"/>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12,82</w:t>
            </w:r>
          </w:p>
        </w:tc>
      </w:tr>
      <w:tr w:rsidR="001E43A2" w:rsidRPr="00E72E07" w:rsidTr="00FF460E">
        <w:trPr>
          <w:trHeight w:val="196"/>
        </w:trPr>
        <w:tc>
          <w:tcPr>
            <w:tcW w:w="1501" w:type="dxa"/>
            <w:vMerge w:val="restart"/>
            <w:tcBorders>
              <w:top w:val="single" w:sz="4" w:space="0" w:color="auto"/>
              <w:left w:val="nil"/>
              <w:right w:val="nil"/>
            </w:tcBorders>
          </w:tcPr>
          <w:p w:rsidR="0028114D" w:rsidRDefault="0028114D" w:rsidP="00FF460E">
            <w:pPr>
              <w:spacing w:after="0" w:line="240" w:lineRule="auto"/>
              <w:jc w:val="center"/>
              <w:rPr>
                <w:rFonts w:ascii="Times New Roman" w:hAnsi="Times New Roman"/>
                <w:bCs/>
                <w:lang w:val="en-US"/>
              </w:rPr>
            </w:pPr>
          </w:p>
          <w:p w:rsidR="0028114D" w:rsidRDefault="0028114D" w:rsidP="00FF460E">
            <w:pPr>
              <w:spacing w:after="0" w:line="240" w:lineRule="auto"/>
              <w:jc w:val="center"/>
              <w:rPr>
                <w:rFonts w:ascii="Times New Roman" w:hAnsi="Times New Roman"/>
                <w:bCs/>
                <w:lang w:val="en-US"/>
              </w:rPr>
            </w:pPr>
          </w:p>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Escolaridade</w:t>
            </w:r>
            <w:proofErr w:type="spellEnd"/>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Analfabetos</w:t>
            </w:r>
            <w:proofErr w:type="spellEnd"/>
          </w:p>
        </w:tc>
        <w:tc>
          <w:tcPr>
            <w:tcW w:w="371" w:type="dxa"/>
            <w:tcBorders>
              <w:top w:val="single" w:sz="4" w:space="0" w:color="auto"/>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18</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46,15</w:t>
            </w:r>
          </w:p>
        </w:tc>
      </w:tr>
      <w:tr w:rsidR="001E43A2" w:rsidRPr="00E72E07" w:rsidTr="00FF460E">
        <w:trPr>
          <w:trHeight w:val="203"/>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Primeira</w:t>
            </w:r>
            <w:proofErr w:type="spellEnd"/>
            <w:r>
              <w:rPr>
                <w:rFonts w:ascii="Times New Roman" w:hAnsi="Times New Roman"/>
                <w:bCs/>
                <w:lang w:val="en-US"/>
              </w:rPr>
              <w:t xml:space="preserve"> à </w:t>
            </w:r>
            <w:proofErr w:type="spellStart"/>
            <w:r>
              <w:rPr>
                <w:rFonts w:ascii="Times New Roman" w:hAnsi="Times New Roman"/>
                <w:bCs/>
                <w:lang w:val="en-US"/>
              </w:rPr>
              <w:t>quarta</w:t>
            </w:r>
            <w:proofErr w:type="spellEnd"/>
            <w:r>
              <w:rPr>
                <w:rFonts w:ascii="Times New Roman" w:hAnsi="Times New Roman"/>
                <w:bCs/>
                <w:lang w:val="en-US"/>
              </w:rPr>
              <w:t xml:space="preserve"> </w:t>
            </w:r>
            <w:proofErr w:type="spellStart"/>
            <w:r>
              <w:rPr>
                <w:rFonts w:ascii="Times New Roman" w:hAnsi="Times New Roman"/>
                <w:bCs/>
                <w:lang w:val="en-US"/>
              </w:rPr>
              <w:t>série</w:t>
            </w:r>
            <w:proofErr w:type="spellEnd"/>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8</w:t>
            </w:r>
            <w:proofErr w:type="gramEnd"/>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20,51</w:t>
            </w:r>
          </w:p>
        </w:tc>
      </w:tr>
      <w:tr w:rsidR="001E43A2" w:rsidRPr="00E72E07" w:rsidTr="00FF460E">
        <w:trPr>
          <w:trHeight w:val="221"/>
        </w:trPr>
        <w:tc>
          <w:tcPr>
            <w:tcW w:w="1501" w:type="dxa"/>
            <w:vMerge/>
            <w:tcBorders>
              <w:left w:val="nil"/>
              <w:right w:val="nil"/>
            </w:tcBorders>
          </w:tcPr>
          <w:p w:rsidR="001E43A2" w:rsidRPr="000417DD" w:rsidRDefault="001E43A2" w:rsidP="00FF460E">
            <w:pPr>
              <w:spacing w:after="0" w:line="240" w:lineRule="auto"/>
              <w:jc w:val="center"/>
              <w:rPr>
                <w:rFonts w:ascii="Times New Roman" w:hAnsi="Times New Roman"/>
                <w:bCs/>
              </w:rPr>
            </w:pPr>
          </w:p>
        </w:tc>
        <w:tc>
          <w:tcPr>
            <w:tcW w:w="2255" w:type="dxa"/>
            <w:gridSpan w:val="2"/>
            <w:tcBorders>
              <w:top w:val="nil"/>
              <w:left w:val="nil"/>
              <w:bottom w:val="nil"/>
              <w:right w:val="nil"/>
            </w:tcBorders>
          </w:tcPr>
          <w:p w:rsidR="001E43A2" w:rsidRPr="000417DD" w:rsidRDefault="001E43A2" w:rsidP="00FF460E">
            <w:pPr>
              <w:spacing w:after="0" w:line="240" w:lineRule="auto"/>
              <w:jc w:val="center"/>
              <w:rPr>
                <w:rFonts w:ascii="Times New Roman" w:hAnsi="Times New Roman"/>
                <w:bCs/>
              </w:rPr>
            </w:pPr>
            <w:r w:rsidRPr="00E72E07">
              <w:rPr>
                <w:rFonts w:ascii="Times New Roman" w:hAnsi="Times New Roman"/>
              </w:rPr>
              <w:t>Alfabetizados</w:t>
            </w:r>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6</w:t>
            </w:r>
            <w:proofErr w:type="gramEnd"/>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15,38</w:t>
            </w:r>
          </w:p>
        </w:tc>
      </w:tr>
      <w:tr w:rsidR="001E43A2" w:rsidRPr="00E72E07" w:rsidTr="00FF460E">
        <w:trPr>
          <w:trHeight w:val="627"/>
        </w:trPr>
        <w:tc>
          <w:tcPr>
            <w:tcW w:w="1501" w:type="dxa"/>
            <w:vMerge/>
            <w:tcBorders>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p>
        </w:tc>
        <w:tc>
          <w:tcPr>
            <w:tcW w:w="2255" w:type="dxa"/>
            <w:gridSpan w:val="2"/>
            <w:tcBorders>
              <w:top w:val="nil"/>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r w:rsidRPr="00E72E07">
              <w:rPr>
                <w:rFonts w:ascii="Times New Roman" w:hAnsi="Times New Roman"/>
              </w:rPr>
              <w:t>Segundo grau ou ensino superior completo ou incompleto</w:t>
            </w:r>
          </w:p>
        </w:tc>
        <w:tc>
          <w:tcPr>
            <w:tcW w:w="371" w:type="dxa"/>
            <w:tcBorders>
              <w:top w:val="nil"/>
              <w:left w:val="nil"/>
              <w:bottom w:val="single" w:sz="4" w:space="0" w:color="auto"/>
              <w:right w:val="nil"/>
            </w:tcBorders>
          </w:tcPr>
          <w:p w:rsidR="00671790" w:rsidRDefault="00671790" w:rsidP="00FF460E">
            <w:pPr>
              <w:spacing w:after="0" w:line="240" w:lineRule="auto"/>
              <w:jc w:val="center"/>
              <w:rPr>
                <w:rFonts w:ascii="Times New Roman" w:hAnsi="Times New Roman"/>
              </w:rPr>
            </w:pPr>
          </w:p>
          <w:p w:rsidR="001E43A2" w:rsidRPr="00E72E07" w:rsidRDefault="000E5BA4" w:rsidP="00671790">
            <w:pPr>
              <w:spacing w:after="0" w:line="240" w:lineRule="auto"/>
              <w:jc w:val="center"/>
              <w:rPr>
                <w:rFonts w:ascii="Times New Roman" w:hAnsi="Times New Roman"/>
              </w:rPr>
            </w:pPr>
            <w:proofErr w:type="gramStart"/>
            <w:r>
              <w:rPr>
                <w:rFonts w:ascii="Times New Roman" w:hAnsi="Times New Roman"/>
              </w:rPr>
              <w:t>7</w:t>
            </w:r>
            <w:proofErr w:type="gramEnd"/>
          </w:p>
        </w:tc>
        <w:tc>
          <w:tcPr>
            <w:tcW w:w="2039" w:type="dxa"/>
            <w:tcBorders>
              <w:top w:val="nil"/>
              <w:left w:val="nil"/>
              <w:bottom w:val="single" w:sz="4" w:space="0" w:color="auto"/>
              <w:right w:val="nil"/>
            </w:tcBorders>
          </w:tcPr>
          <w:p w:rsidR="00671790" w:rsidRDefault="00671790" w:rsidP="00FF460E">
            <w:pPr>
              <w:spacing w:after="0" w:line="240" w:lineRule="auto"/>
              <w:jc w:val="center"/>
              <w:rPr>
                <w:rFonts w:ascii="Times New Roman" w:hAnsi="Times New Roman"/>
              </w:rPr>
            </w:pPr>
          </w:p>
          <w:p w:rsidR="001E43A2" w:rsidRPr="00E72E07" w:rsidRDefault="001E43A2" w:rsidP="00FF460E">
            <w:pPr>
              <w:spacing w:after="0" w:line="240" w:lineRule="auto"/>
              <w:jc w:val="center"/>
              <w:rPr>
                <w:rFonts w:ascii="Times New Roman" w:hAnsi="Times New Roman"/>
              </w:rPr>
            </w:pPr>
            <w:r>
              <w:rPr>
                <w:rFonts w:ascii="Times New Roman" w:hAnsi="Times New Roman"/>
              </w:rPr>
              <w:t>17,95</w:t>
            </w:r>
          </w:p>
        </w:tc>
      </w:tr>
      <w:tr w:rsidR="001E43A2" w:rsidRPr="00E72E07" w:rsidTr="00FF460E">
        <w:trPr>
          <w:trHeight w:val="150"/>
        </w:trPr>
        <w:tc>
          <w:tcPr>
            <w:tcW w:w="1501" w:type="dxa"/>
            <w:vMerge w:val="restart"/>
            <w:tcBorders>
              <w:top w:val="single" w:sz="4" w:space="0" w:color="auto"/>
              <w:left w:val="nil"/>
              <w:right w:val="nil"/>
            </w:tcBorders>
          </w:tcPr>
          <w:p w:rsidR="0028114D" w:rsidRDefault="0028114D" w:rsidP="00FF460E">
            <w:pPr>
              <w:spacing w:after="0" w:line="240" w:lineRule="auto"/>
              <w:jc w:val="center"/>
              <w:rPr>
                <w:rFonts w:ascii="Times New Roman" w:hAnsi="Times New Roman"/>
                <w:bCs/>
                <w:lang w:val="en-US"/>
              </w:rPr>
            </w:pPr>
          </w:p>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Raça</w:t>
            </w:r>
            <w:proofErr w:type="spellEnd"/>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r w:rsidRPr="00E72E07">
              <w:rPr>
                <w:rFonts w:ascii="Times New Roman" w:hAnsi="Times New Roman"/>
              </w:rPr>
              <w:t>Pardos</w:t>
            </w:r>
          </w:p>
        </w:tc>
        <w:tc>
          <w:tcPr>
            <w:tcW w:w="371" w:type="dxa"/>
            <w:tcBorders>
              <w:top w:val="single" w:sz="4" w:space="0" w:color="auto"/>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23</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58,97</w:t>
            </w:r>
          </w:p>
        </w:tc>
      </w:tr>
      <w:tr w:rsidR="001E43A2" w:rsidRPr="00E72E07" w:rsidTr="00FF460E">
        <w:trPr>
          <w:trHeight w:val="203"/>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r>
              <w:rPr>
                <w:rFonts w:ascii="Times New Roman" w:hAnsi="Times New Roman"/>
              </w:rPr>
              <w:t>Brancos</w:t>
            </w:r>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10</w:t>
            </w:r>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25,64</w:t>
            </w:r>
          </w:p>
        </w:tc>
      </w:tr>
      <w:tr w:rsidR="001E43A2" w:rsidRPr="00E72E07" w:rsidTr="00FF460E">
        <w:trPr>
          <w:trHeight w:val="165"/>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r>
              <w:rPr>
                <w:rFonts w:ascii="Times New Roman" w:hAnsi="Times New Roman"/>
              </w:rPr>
              <w:t>Negros</w:t>
            </w:r>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5</w:t>
            </w:r>
            <w:proofErr w:type="gramEnd"/>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Pr>
                <w:rFonts w:ascii="Times New Roman" w:hAnsi="Times New Roman"/>
              </w:rPr>
              <w:t>12,82</w:t>
            </w:r>
          </w:p>
        </w:tc>
      </w:tr>
      <w:tr w:rsidR="001E43A2" w:rsidRPr="00E72E07" w:rsidTr="00FF460E">
        <w:trPr>
          <w:trHeight w:val="297"/>
        </w:trPr>
        <w:tc>
          <w:tcPr>
            <w:tcW w:w="1501" w:type="dxa"/>
            <w:vMerge/>
            <w:tcBorders>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single" w:sz="4" w:space="0" w:color="auto"/>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Amarelos</w:t>
            </w:r>
            <w:proofErr w:type="spellEnd"/>
          </w:p>
        </w:tc>
        <w:tc>
          <w:tcPr>
            <w:tcW w:w="371" w:type="dxa"/>
            <w:tcBorders>
              <w:top w:val="nil"/>
              <w:left w:val="nil"/>
              <w:bottom w:val="single" w:sz="4" w:space="0" w:color="auto"/>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1</w:t>
            </w:r>
            <w:proofErr w:type="gramEnd"/>
          </w:p>
        </w:tc>
        <w:tc>
          <w:tcPr>
            <w:tcW w:w="2039" w:type="dxa"/>
            <w:tcBorders>
              <w:top w:val="nil"/>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2,56</w:t>
            </w:r>
          </w:p>
        </w:tc>
      </w:tr>
      <w:tr w:rsidR="001E43A2" w:rsidRPr="00E72E07" w:rsidTr="00FF460E">
        <w:trPr>
          <w:trHeight w:val="185"/>
        </w:trPr>
        <w:tc>
          <w:tcPr>
            <w:tcW w:w="1501" w:type="dxa"/>
            <w:vMerge w:val="restart"/>
            <w:tcBorders>
              <w:top w:val="single" w:sz="4" w:space="0" w:color="auto"/>
              <w:left w:val="nil"/>
              <w:right w:val="nil"/>
            </w:tcBorders>
          </w:tcPr>
          <w:p w:rsidR="0028114D" w:rsidRDefault="0028114D" w:rsidP="00FF460E">
            <w:pPr>
              <w:spacing w:after="0" w:line="240" w:lineRule="auto"/>
              <w:jc w:val="center"/>
              <w:rPr>
                <w:rFonts w:ascii="Times New Roman" w:hAnsi="Times New Roman"/>
                <w:bCs/>
                <w:lang w:val="en-US"/>
              </w:rPr>
            </w:pPr>
          </w:p>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Ocupação</w:t>
            </w:r>
            <w:proofErr w:type="spellEnd"/>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Agricultura</w:t>
            </w:r>
            <w:proofErr w:type="spellEnd"/>
          </w:p>
        </w:tc>
        <w:tc>
          <w:tcPr>
            <w:tcW w:w="371" w:type="dxa"/>
            <w:tcBorders>
              <w:top w:val="single" w:sz="4" w:space="0" w:color="auto"/>
              <w:left w:val="nil"/>
              <w:bottom w:val="nil"/>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16</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41,03</w:t>
            </w:r>
          </w:p>
        </w:tc>
      </w:tr>
      <w:tr w:rsidR="001E43A2" w:rsidRPr="00E72E07" w:rsidTr="00FF460E">
        <w:trPr>
          <w:trHeight w:val="248"/>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Atividades</w:t>
            </w:r>
            <w:proofErr w:type="spellEnd"/>
            <w:r>
              <w:rPr>
                <w:rFonts w:ascii="Times New Roman" w:hAnsi="Times New Roman"/>
                <w:bCs/>
                <w:lang w:val="en-US"/>
              </w:rPr>
              <w:t xml:space="preserve"> do </w:t>
            </w:r>
            <w:proofErr w:type="spellStart"/>
            <w:r>
              <w:rPr>
                <w:rFonts w:ascii="Times New Roman" w:hAnsi="Times New Roman"/>
                <w:bCs/>
                <w:lang w:val="en-US"/>
              </w:rPr>
              <w:t>lar</w:t>
            </w:r>
            <w:proofErr w:type="spellEnd"/>
          </w:p>
        </w:tc>
        <w:tc>
          <w:tcPr>
            <w:tcW w:w="371" w:type="dxa"/>
            <w:tcBorders>
              <w:top w:val="nil"/>
              <w:left w:val="nil"/>
              <w:bottom w:val="nil"/>
              <w:right w:val="nil"/>
            </w:tcBorders>
          </w:tcPr>
          <w:p w:rsidR="001E43A2" w:rsidRPr="00E72E07" w:rsidRDefault="000E5BA4" w:rsidP="00FF460E">
            <w:pPr>
              <w:spacing w:after="0" w:line="240" w:lineRule="auto"/>
              <w:jc w:val="center"/>
              <w:rPr>
                <w:rFonts w:ascii="Times New Roman" w:hAnsi="Times New Roman"/>
              </w:rPr>
            </w:pPr>
            <w:proofErr w:type="gramStart"/>
            <w:r>
              <w:rPr>
                <w:rFonts w:ascii="Times New Roman" w:hAnsi="Times New Roman"/>
              </w:rPr>
              <w:t>5</w:t>
            </w:r>
            <w:proofErr w:type="gramEnd"/>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12,82</w:t>
            </w:r>
          </w:p>
        </w:tc>
      </w:tr>
      <w:tr w:rsidR="001E43A2" w:rsidRPr="00E72E07" w:rsidTr="00FF460E">
        <w:trPr>
          <w:trHeight w:val="209"/>
        </w:trPr>
        <w:tc>
          <w:tcPr>
            <w:tcW w:w="1501" w:type="dxa"/>
            <w:vMerge/>
            <w:tcBorders>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p>
        </w:tc>
        <w:tc>
          <w:tcPr>
            <w:tcW w:w="2255" w:type="dxa"/>
            <w:gridSpan w:val="2"/>
            <w:tcBorders>
              <w:top w:val="nil"/>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r w:rsidRPr="00E72E07">
              <w:rPr>
                <w:rFonts w:ascii="Times New Roman" w:hAnsi="Times New Roman"/>
              </w:rPr>
              <w:t>Outros</w:t>
            </w:r>
          </w:p>
        </w:tc>
        <w:tc>
          <w:tcPr>
            <w:tcW w:w="371" w:type="dxa"/>
            <w:tcBorders>
              <w:top w:val="nil"/>
              <w:left w:val="nil"/>
              <w:bottom w:val="single" w:sz="4" w:space="0" w:color="auto"/>
              <w:right w:val="nil"/>
            </w:tcBorders>
          </w:tcPr>
          <w:p w:rsidR="001E43A2" w:rsidRPr="00E72E07" w:rsidRDefault="000E5BA4" w:rsidP="00FF460E">
            <w:pPr>
              <w:spacing w:after="0" w:line="240" w:lineRule="auto"/>
              <w:jc w:val="center"/>
              <w:rPr>
                <w:rFonts w:ascii="Times New Roman" w:hAnsi="Times New Roman"/>
              </w:rPr>
            </w:pPr>
            <w:r>
              <w:rPr>
                <w:rFonts w:ascii="Times New Roman" w:hAnsi="Times New Roman"/>
              </w:rPr>
              <w:t>18</w:t>
            </w:r>
          </w:p>
        </w:tc>
        <w:tc>
          <w:tcPr>
            <w:tcW w:w="2039" w:type="dxa"/>
            <w:tcBorders>
              <w:top w:val="nil"/>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46,15</w:t>
            </w:r>
          </w:p>
        </w:tc>
      </w:tr>
      <w:tr w:rsidR="001E43A2" w:rsidRPr="00E72E07" w:rsidTr="00FF460E">
        <w:trPr>
          <w:trHeight w:val="173"/>
        </w:trPr>
        <w:tc>
          <w:tcPr>
            <w:tcW w:w="1501" w:type="dxa"/>
            <w:vMerge w:val="restart"/>
            <w:tcBorders>
              <w:top w:val="single" w:sz="4" w:space="0" w:color="auto"/>
              <w:left w:val="nil"/>
              <w:right w:val="nil"/>
            </w:tcBorders>
          </w:tcPr>
          <w:p w:rsidR="0028114D" w:rsidRDefault="0028114D" w:rsidP="00FF460E">
            <w:pPr>
              <w:spacing w:after="0" w:line="240" w:lineRule="auto"/>
              <w:jc w:val="center"/>
              <w:rPr>
                <w:rFonts w:ascii="Times New Roman" w:hAnsi="Times New Roman"/>
                <w:bCs/>
                <w:lang w:val="en-US"/>
              </w:rPr>
            </w:pPr>
          </w:p>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Fonte</w:t>
            </w:r>
            <w:proofErr w:type="spellEnd"/>
            <w:r w:rsidRPr="00414E5E">
              <w:rPr>
                <w:rFonts w:ascii="Times New Roman" w:hAnsi="Times New Roman"/>
                <w:bCs/>
                <w:lang w:val="en-US"/>
              </w:rPr>
              <w:t xml:space="preserve"> de </w:t>
            </w:r>
            <w:proofErr w:type="spellStart"/>
            <w:r w:rsidRPr="00414E5E">
              <w:rPr>
                <w:rFonts w:ascii="Times New Roman" w:hAnsi="Times New Roman"/>
                <w:bCs/>
                <w:lang w:val="en-US"/>
              </w:rPr>
              <w:t>Renda</w:t>
            </w:r>
            <w:proofErr w:type="spellEnd"/>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Aposentadoria</w:t>
            </w:r>
            <w:proofErr w:type="spellEnd"/>
          </w:p>
        </w:tc>
        <w:tc>
          <w:tcPr>
            <w:tcW w:w="371" w:type="dxa"/>
            <w:tcBorders>
              <w:top w:val="single" w:sz="4" w:space="0" w:color="auto"/>
              <w:left w:val="nil"/>
              <w:bottom w:val="nil"/>
              <w:right w:val="nil"/>
            </w:tcBorders>
          </w:tcPr>
          <w:p w:rsidR="001E43A2" w:rsidRPr="00E72E07" w:rsidRDefault="00FF460E" w:rsidP="00FF460E">
            <w:pPr>
              <w:spacing w:after="0" w:line="240" w:lineRule="auto"/>
              <w:jc w:val="center"/>
              <w:rPr>
                <w:rFonts w:ascii="Times New Roman" w:hAnsi="Times New Roman"/>
              </w:rPr>
            </w:pPr>
            <w:r>
              <w:rPr>
                <w:rFonts w:ascii="Times New Roman" w:hAnsi="Times New Roman"/>
              </w:rPr>
              <w:t>28</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71,79</w:t>
            </w:r>
          </w:p>
        </w:tc>
      </w:tr>
      <w:tr w:rsidR="001E43A2" w:rsidRPr="00E72E07" w:rsidTr="00FF460E">
        <w:trPr>
          <w:trHeight w:val="230"/>
        </w:trPr>
        <w:tc>
          <w:tcPr>
            <w:tcW w:w="1501" w:type="dxa"/>
            <w:vMerge/>
            <w:tcBorders>
              <w:left w:val="nil"/>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Pr>
                <w:rFonts w:ascii="Times New Roman" w:hAnsi="Times New Roman"/>
                <w:bCs/>
                <w:lang w:val="en-US"/>
              </w:rPr>
              <w:t>Pensão</w:t>
            </w:r>
            <w:proofErr w:type="spellEnd"/>
          </w:p>
        </w:tc>
        <w:tc>
          <w:tcPr>
            <w:tcW w:w="371" w:type="dxa"/>
            <w:tcBorders>
              <w:top w:val="nil"/>
              <w:left w:val="nil"/>
              <w:bottom w:val="nil"/>
              <w:right w:val="nil"/>
            </w:tcBorders>
          </w:tcPr>
          <w:p w:rsidR="001E43A2" w:rsidRPr="00E72E07" w:rsidRDefault="00FF460E" w:rsidP="00FF460E">
            <w:pPr>
              <w:spacing w:after="0" w:line="240" w:lineRule="auto"/>
              <w:jc w:val="center"/>
              <w:rPr>
                <w:rFonts w:ascii="Times New Roman" w:hAnsi="Times New Roman"/>
              </w:rPr>
            </w:pPr>
            <w:proofErr w:type="gramStart"/>
            <w:r>
              <w:rPr>
                <w:rFonts w:ascii="Times New Roman" w:hAnsi="Times New Roman"/>
              </w:rPr>
              <w:t>5</w:t>
            </w:r>
            <w:proofErr w:type="gramEnd"/>
          </w:p>
        </w:tc>
        <w:tc>
          <w:tcPr>
            <w:tcW w:w="2039" w:type="dxa"/>
            <w:tcBorders>
              <w:top w:val="nil"/>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12,82</w:t>
            </w:r>
          </w:p>
        </w:tc>
      </w:tr>
      <w:tr w:rsidR="001E43A2" w:rsidRPr="00E72E07" w:rsidTr="00FF460E">
        <w:trPr>
          <w:trHeight w:val="601"/>
        </w:trPr>
        <w:tc>
          <w:tcPr>
            <w:tcW w:w="1501" w:type="dxa"/>
            <w:vMerge/>
            <w:tcBorders>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p>
        </w:tc>
        <w:tc>
          <w:tcPr>
            <w:tcW w:w="2255" w:type="dxa"/>
            <w:gridSpan w:val="2"/>
            <w:tcBorders>
              <w:top w:val="nil"/>
              <w:left w:val="nil"/>
              <w:bottom w:val="single" w:sz="4" w:space="0" w:color="auto"/>
              <w:right w:val="nil"/>
            </w:tcBorders>
          </w:tcPr>
          <w:p w:rsidR="001E43A2" w:rsidRPr="000417DD" w:rsidRDefault="001E43A2" w:rsidP="00FF460E">
            <w:pPr>
              <w:spacing w:after="0" w:line="240" w:lineRule="auto"/>
              <w:jc w:val="center"/>
              <w:rPr>
                <w:rFonts w:ascii="Times New Roman" w:hAnsi="Times New Roman"/>
                <w:bCs/>
              </w:rPr>
            </w:pPr>
            <w:r w:rsidRPr="00E72E07">
              <w:rPr>
                <w:rFonts w:ascii="Times New Roman" w:hAnsi="Times New Roman"/>
              </w:rPr>
              <w:t>Pensão e aposentadoria</w:t>
            </w:r>
            <w:proofErr w:type="gramStart"/>
            <w:r>
              <w:rPr>
                <w:rFonts w:ascii="Times New Roman" w:hAnsi="Times New Roman"/>
              </w:rPr>
              <w:t xml:space="preserve">, </w:t>
            </w:r>
            <w:r w:rsidRPr="00E72E07">
              <w:rPr>
                <w:rFonts w:ascii="Times New Roman" w:hAnsi="Times New Roman"/>
              </w:rPr>
              <w:t>ajuda</w:t>
            </w:r>
            <w:proofErr w:type="gramEnd"/>
            <w:r w:rsidRPr="00E72E07">
              <w:rPr>
                <w:rFonts w:ascii="Times New Roman" w:hAnsi="Times New Roman"/>
              </w:rPr>
              <w:t xml:space="preserve"> de terceiros</w:t>
            </w:r>
          </w:p>
        </w:tc>
        <w:tc>
          <w:tcPr>
            <w:tcW w:w="371" w:type="dxa"/>
            <w:tcBorders>
              <w:top w:val="nil"/>
              <w:left w:val="nil"/>
              <w:bottom w:val="single" w:sz="4" w:space="0" w:color="auto"/>
              <w:right w:val="nil"/>
            </w:tcBorders>
          </w:tcPr>
          <w:p w:rsidR="001E43A2" w:rsidRPr="00E72E07" w:rsidRDefault="00FF460E" w:rsidP="00FF460E">
            <w:pPr>
              <w:spacing w:after="0" w:line="240" w:lineRule="auto"/>
              <w:jc w:val="center"/>
              <w:rPr>
                <w:rFonts w:ascii="Times New Roman" w:hAnsi="Times New Roman"/>
              </w:rPr>
            </w:pPr>
            <w:proofErr w:type="gramStart"/>
            <w:r>
              <w:rPr>
                <w:rFonts w:ascii="Times New Roman" w:hAnsi="Times New Roman"/>
              </w:rPr>
              <w:t>6</w:t>
            </w:r>
            <w:proofErr w:type="gramEnd"/>
          </w:p>
        </w:tc>
        <w:tc>
          <w:tcPr>
            <w:tcW w:w="2039" w:type="dxa"/>
            <w:tcBorders>
              <w:top w:val="nil"/>
              <w:left w:val="nil"/>
              <w:bottom w:val="single" w:sz="4" w:space="0" w:color="auto"/>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15,38</w:t>
            </w:r>
          </w:p>
        </w:tc>
      </w:tr>
      <w:tr w:rsidR="001E43A2" w:rsidRPr="00E72E07" w:rsidTr="00FF460E">
        <w:trPr>
          <w:trHeight w:val="238"/>
        </w:trPr>
        <w:tc>
          <w:tcPr>
            <w:tcW w:w="1501" w:type="dxa"/>
            <w:vMerge w:val="restart"/>
            <w:tcBorders>
              <w:top w:val="single" w:sz="4" w:space="0" w:color="auto"/>
              <w:left w:val="nil"/>
              <w:right w:val="nil"/>
            </w:tcBorders>
          </w:tcPr>
          <w:p w:rsidR="001E43A2" w:rsidRPr="00414E5E" w:rsidRDefault="001E43A2" w:rsidP="00FF460E">
            <w:pPr>
              <w:spacing w:after="0" w:line="240" w:lineRule="auto"/>
              <w:jc w:val="center"/>
              <w:rPr>
                <w:rFonts w:ascii="Times New Roman" w:hAnsi="Times New Roman"/>
                <w:bCs/>
                <w:lang w:val="en-US"/>
              </w:rPr>
            </w:pPr>
            <w:proofErr w:type="spellStart"/>
            <w:r w:rsidRPr="00414E5E">
              <w:rPr>
                <w:rFonts w:ascii="Times New Roman" w:hAnsi="Times New Roman"/>
                <w:bCs/>
                <w:lang w:val="en-US"/>
              </w:rPr>
              <w:t>Tipo</w:t>
            </w:r>
            <w:proofErr w:type="spellEnd"/>
            <w:r w:rsidRPr="00414E5E">
              <w:rPr>
                <w:rFonts w:ascii="Times New Roman" w:hAnsi="Times New Roman"/>
                <w:bCs/>
                <w:lang w:val="en-US"/>
              </w:rPr>
              <w:t xml:space="preserve"> de </w:t>
            </w:r>
            <w:proofErr w:type="spellStart"/>
            <w:r w:rsidRPr="00414E5E">
              <w:rPr>
                <w:rFonts w:ascii="Times New Roman" w:hAnsi="Times New Roman"/>
                <w:bCs/>
                <w:lang w:val="en-US"/>
              </w:rPr>
              <w:t>Moradia</w:t>
            </w:r>
            <w:proofErr w:type="spellEnd"/>
          </w:p>
        </w:tc>
        <w:tc>
          <w:tcPr>
            <w:tcW w:w="2255" w:type="dxa"/>
            <w:gridSpan w:val="2"/>
            <w:tcBorders>
              <w:top w:val="single" w:sz="4" w:space="0" w:color="auto"/>
              <w:left w:val="nil"/>
              <w:bottom w:val="nil"/>
              <w:right w:val="nil"/>
            </w:tcBorders>
          </w:tcPr>
          <w:p w:rsidR="001E43A2" w:rsidRPr="00414E5E" w:rsidRDefault="001E43A2" w:rsidP="00FF460E">
            <w:pPr>
              <w:spacing w:after="0" w:line="240" w:lineRule="auto"/>
              <w:jc w:val="center"/>
              <w:rPr>
                <w:rFonts w:ascii="Times New Roman" w:hAnsi="Times New Roman"/>
                <w:bCs/>
                <w:lang w:val="en-US"/>
              </w:rPr>
            </w:pPr>
            <w:r w:rsidRPr="00E72E07">
              <w:rPr>
                <w:rFonts w:ascii="Times New Roman" w:hAnsi="Times New Roman"/>
              </w:rPr>
              <w:t>Casa Própria</w:t>
            </w:r>
          </w:p>
        </w:tc>
        <w:tc>
          <w:tcPr>
            <w:tcW w:w="371" w:type="dxa"/>
            <w:tcBorders>
              <w:top w:val="single" w:sz="4" w:space="0" w:color="auto"/>
              <w:left w:val="nil"/>
              <w:bottom w:val="nil"/>
              <w:right w:val="nil"/>
            </w:tcBorders>
          </w:tcPr>
          <w:p w:rsidR="001E43A2" w:rsidRPr="00E72E07" w:rsidRDefault="00FF460E" w:rsidP="00FF460E">
            <w:pPr>
              <w:spacing w:after="0" w:line="240" w:lineRule="auto"/>
              <w:jc w:val="center"/>
              <w:rPr>
                <w:rFonts w:ascii="Times New Roman" w:hAnsi="Times New Roman"/>
              </w:rPr>
            </w:pPr>
            <w:r>
              <w:rPr>
                <w:rFonts w:ascii="Times New Roman" w:hAnsi="Times New Roman"/>
              </w:rPr>
              <w:t>33</w:t>
            </w:r>
          </w:p>
        </w:tc>
        <w:tc>
          <w:tcPr>
            <w:tcW w:w="2039" w:type="dxa"/>
            <w:tcBorders>
              <w:top w:val="single" w:sz="4" w:space="0" w:color="auto"/>
              <w:left w:val="nil"/>
              <w:bottom w:val="nil"/>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84,62</w:t>
            </w:r>
          </w:p>
        </w:tc>
      </w:tr>
      <w:tr w:rsidR="001E43A2" w:rsidRPr="00E72E07" w:rsidTr="00FF460E">
        <w:trPr>
          <w:trHeight w:val="265"/>
        </w:trPr>
        <w:tc>
          <w:tcPr>
            <w:tcW w:w="1501" w:type="dxa"/>
            <w:vMerge/>
            <w:tcBorders>
              <w:left w:val="nil"/>
              <w:bottom w:val="single" w:sz="24" w:space="0" w:color="auto"/>
              <w:right w:val="nil"/>
            </w:tcBorders>
          </w:tcPr>
          <w:p w:rsidR="001E43A2" w:rsidRPr="00414E5E" w:rsidRDefault="001E43A2" w:rsidP="00FF460E">
            <w:pPr>
              <w:spacing w:after="0" w:line="240" w:lineRule="auto"/>
              <w:jc w:val="center"/>
              <w:rPr>
                <w:rFonts w:ascii="Times New Roman" w:hAnsi="Times New Roman"/>
                <w:bCs/>
                <w:lang w:val="en-US"/>
              </w:rPr>
            </w:pPr>
          </w:p>
        </w:tc>
        <w:tc>
          <w:tcPr>
            <w:tcW w:w="2255" w:type="dxa"/>
            <w:gridSpan w:val="2"/>
            <w:tcBorders>
              <w:top w:val="nil"/>
              <w:left w:val="nil"/>
              <w:bottom w:val="single" w:sz="24" w:space="0" w:color="auto"/>
              <w:right w:val="nil"/>
            </w:tcBorders>
          </w:tcPr>
          <w:p w:rsidR="001E43A2" w:rsidRPr="00414E5E" w:rsidRDefault="001E43A2" w:rsidP="00FF460E">
            <w:pPr>
              <w:spacing w:after="0" w:line="240" w:lineRule="auto"/>
              <w:jc w:val="center"/>
              <w:rPr>
                <w:rFonts w:ascii="Times New Roman" w:hAnsi="Times New Roman"/>
                <w:bCs/>
                <w:lang w:val="en-US"/>
              </w:rPr>
            </w:pPr>
            <w:r w:rsidRPr="00E72E07">
              <w:rPr>
                <w:rFonts w:ascii="Times New Roman" w:hAnsi="Times New Roman"/>
              </w:rPr>
              <w:t>Casa Alugada</w:t>
            </w:r>
          </w:p>
        </w:tc>
        <w:tc>
          <w:tcPr>
            <w:tcW w:w="371" w:type="dxa"/>
            <w:tcBorders>
              <w:top w:val="nil"/>
              <w:left w:val="nil"/>
              <w:bottom w:val="single" w:sz="24" w:space="0" w:color="auto"/>
              <w:right w:val="nil"/>
            </w:tcBorders>
          </w:tcPr>
          <w:p w:rsidR="001E43A2" w:rsidRPr="00E72E07" w:rsidRDefault="00FF460E" w:rsidP="00FF460E">
            <w:pPr>
              <w:spacing w:after="0" w:line="240" w:lineRule="auto"/>
              <w:jc w:val="center"/>
              <w:rPr>
                <w:rFonts w:ascii="Times New Roman" w:hAnsi="Times New Roman"/>
              </w:rPr>
            </w:pPr>
            <w:proofErr w:type="gramStart"/>
            <w:r>
              <w:rPr>
                <w:rFonts w:ascii="Times New Roman" w:hAnsi="Times New Roman"/>
              </w:rPr>
              <w:t>6</w:t>
            </w:r>
            <w:proofErr w:type="gramEnd"/>
          </w:p>
        </w:tc>
        <w:tc>
          <w:tcPr>
            <w:tcW w:w="2039" w:type="dxa"/>
            <w:tcBorders>
              <w:top w:val="nil"/>
              <w:left w:val="nil"/>
              <w:bottom w:val="single" w:sz="24" w:space="0" w:color="auto"/>
              <w:right w:val="nil"/>
            </w:tcBorders>
          </w:tcPr>
          <w:p w:rsidR="001E43A2" w:rsidRPr="00E72E07" w:rsidRDefault="001E43A2" w:rsidP="00FF460E">
            <w:pPr>
              <w:spacing w:after="0" w:line="240" w:lineRule="auto"/>
              <w:jc w:val="center"/>
              <w:rPr>
                <w:rFonts w:ascii="Times New Roman" w:hAnsi="Times New Roman"/>
              </w:rPr>
            </w:pPr>
            <w:r w:rsidRPr="00E72E07">
              <w:rPr>
                <w:rFonts w:ascii="Times New Roman" w:hAnsi="Times New Roman"/>
              </w:rPr>
              <w:t>15,38</w:t>
            </w:r>
          </w:p>
        </w:tc>
      </w:tr>
    </w:tbl>
    <w:p w:rsidR="00D623B4" w:rsidRPr="00E72E07" w:rsidRDefault="00D623B4" w:rsidP="00D623B4">
      <w:pPr>
        <w:autoSpaceDE w:val="0"/>
        <w:autoSpaceDN w:val="0"/>
        <w:adjustRightInd w:val="0"/>
        <w:spacing w:after="0" w:line="360" w:lineRule="auto"/>
        <w:ind w:firstLine="708"/>
        <w:jc w:val="both"/>
        <w:rPr>
          <w:rFonts w:ascii="Times New Roman" w:hAnsi="Times New Roman"/>
        </w:rPr>
      </w:pPr>
    </w:p>
    <w:p w:rsidR="00D623B4" w:rsidRPr="00E72E07" w:rsidRDefault="00D623B4" w:rsidP="00D623B4">
      <w:pPr>
        <w:autoSpaceDE w:val="0"/>
        <w:autoSpaceDN w:val="0"/>
        <w:adjustRightInd w:val="0"/>
        <w:spacing w:after="0" w:line="360" w:lineRule="auto"/>
        <w:ind w:firstLine="708"/>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ind w:firstLine="708"/>
        <w:jc w:val="both"/>
        <w:rPr>
          <w:rFonts w:ascii="Times New Roman" w:hAnsi="Times New Roman"/>
        </w:rPr>
      </w:pPr>
    </w:p>
    <w:p w:rsidR="00D623B4" w:rsidRPr="00E72E07" w:rsidRDefault="00D623B4" w:rsidP="00D623B4">
      <w:pPr>
        <w:autoSpaceDE w:val="0"/>
        <w:autoSpaceDN w:val="0"/>
        <w:adjustRightInd w:val="0"/>
        <w:spacing w:after="0" w:line="360" w:lineRule="auto"/>
        <w:ind w:firstLine="708"/>
        <w:jc w:val="both"/>
        <w:rPr>
          <w:rFonts w:ascii="Times New Roman" w:hAnsi="Times New Roman"/>
        </w:rPr>
      </w:pPr>
    </w:p>
    <w:p w:rsidR="00D623B4" w:rsidRPr="00E72E07" w:rsidRDefault="00D623B4" w:rsidP="00D623B4">
      <w:pPr>
        <w:autoSpaceDE w:val="0"/>
        <w:autoSpaceDN w:val="0"/>
        <w:adjustRightInd w:val="0"/>
        <w:spacing w:after="0" w:line="360" w:lineRule="auto"/>
        <w:ind w:firstLine="708"/>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D623B4" w:rsidRPr="00E72E07" w:rsidRDefault="00D623B4" w:rsidP="00D623B4">
      <w:pPr>
        <w:autoSpaceDE w:val="0"/>
        <w:autoSpaceDN w:val="0"/>
        <w:adjustRightInd w:val="0"/>
        <w:spacing w:after="0" w:line="360" w:lineRule="auto"/>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414E5E" w:rsidRDefault="00414E5E" w:rsidP="00D623B4">
      <w:pPr>
        <w:autoSpaceDE w:val="0"/>
        <w:autoSpaceDN w:val="0"/>
        <w:adjustRightInd w:val="0"/>
        <w:spacing w:after="0" w:line="360" w:lineRule="auto"/>
        <w:ind w:firstLine="708"/>
        <w:jc w:val="both"/>
        <w:rPr>
          <w:rFonts w:ascii="Times New Roman" w:hAnsi="Times New Roman"/>
        </w:rPr>
      </w:pPr>
    </w:p>
    <w:p w:rsidR="00414E5E" w:rsidRDefault="00414E5E" w:rsidP="00D623B4">
      <w:pPr>
        <w:autoSpaceDE w:val="0"/>
        <w:autoSpaceDN w:val="0"/>
        <w:adjustRightInd w:val="0"/>
        <w:spacing w:after="0" w:line="360" w:lineRule="auto"/>
        <w:ind w:firstLine="708"/>
        <w:jc w:val="both"/>
        <w:rPr>
          <w:rFonts w:ascii="Times New Roman" w:hAnsi="Times New Roman"/>
        </w:rPr>
      </w:pPr>
    </w:p>
    <w:p w:rsidR="00D623B4" w:rsidRDefault="00D623B4" w:rsidP="00D623B4">
      <w:pPr>
        <w:autoSpaceDE w:val="0"/>
        <w:autoSpaceDN w:val="0"/>
        <w:adjustRightInd w:val="0"/>
        <w:spacing w:after="0" w:line="360" w:lineRule="auto"/>
        <w:ind w:firstLine="708"/>
        <w:jc w:val="both"/>
        <w:rPr>
          <w:rFonts w:ascii="Times New Roman" w:hAnsi="Times New Roman"/>
        </w:rPr>
      </w:pPr>
      <w:r w:rsidRPr="00E72E07">
        <w:rPr>
          <w:rFonts w:ascii="Times New Roman" w:hAnsi="Times New Roman"/>
        </w:rPr>
        <w:t xml:space="preserve">Com relação às características clínicas, </w:t>
      </w:r>
      <w:proofErr w:type="gramStart"/>
      <w:r w:rsidRPr="00E72E07">
        <w:rPr>
          <w:rFonts w:ascii="Times New Roman" w:hAnsi="Times New Roman"/>
        </w:rPr>
        <w:t>o AVE</w:t>
      </w:r>
      <w:proofErr w:type="gramEnd"/>
      <w:r w:rsidRPr="00E72E07">
        <w:rPr>
          <w:rFonts w:ascii="Times New Roman" w:hAnsi="Times New Roman"/>
        </w:rPr>
        <w:t xml:space="preserve"> no hemisfério esquerdo (56,41%) e a etiologia do tipo isquêmica (61,54%) foram predominantes. </w:t>
      </w:r>
      <w:proofErr w:type="gramStart"/>
      <w:r w:rsidRPr="00E72E07">
        <w:rPr>
          <w:rFonts w:ascii="Times New Roman" w:hAnsi="Times New Roman"/>
        </w:rPr>
        <w:t>Cerca de 97,4</w:t>
      </w:r>
      <w:proofErr w:type="gramEnd"/>
      <w:r w:rsidRPr="00E72E07">
        <w:rPr>
          <w:rFonts w:ascii="Times New Roman" w:hAnsi="Times New Roman"/>
        </w:rPr>
        <w:t xml:space="preserve">% dos avaliados apresentavam fatores de risco associados, onde a Hipertensão Arterial Sistêmica (HAS) equivaleu a 74,35% da amostra. A caracterização dos pacientes de acordo com os aspectos clínicos encontra-se </w:t>
      </w:r>
      <w:r w:rsidR="00865D6B">
        <w:rPr>
          <w:rFonts w:ascii="Times New Roman" w:hAnsi="Times New Roman"/>
        </w:rPr>
        <w:t xml:space="preserve">descrita </w:t>
      </w:r>
      <w:r w:rsidRPr="00E72E07">
        <w:rPr>
          <w:rFonts w:ascii="Times New Roman" w:hAnsi="Times New Roman"/>
        </w:rPr>
        <w:t>na Tabela 2.</w:t>
      </w: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Pr="00E72E07" w:rsidRDefault="00E72E07" w:rsidP="00E72E07">
      <w:pPr>
        <w:autoSpaceDE w:val="0"/>
        <w:autoSpaceDN w:val="0"/>
        <w:adjustRightInd w:val="0"/>
        <w:spacing w:after="0" w:line="360" w:lineRule="auto"/>
        <w:jc w:val="both"/>
        <w:rPr>
          <w:rFonts w:ascii="Times New Roman" w:hAnsi="Times New Roman"/>
        </w:rPr>
      </w:pPr>
      <w:r>
        <w:rPr>
          <w:rFonts w:ascii="Times New Roman" w:hAnsi="Times New Roman"/>
        </w:rPr>
        <w:lastRenderedPageBreak/>
        <w:t>Tabela 2. Caracterização dos indivíduos com AVE de acordo com os aspectos clínicos. Santa Cruz – Rio Grande do Norte, Brasil.</w:t>
      </w:r>
    </w:p>
    <w:tbl>
      <w:tblPr>
        <w:tblpPr w:leftFromText="141" w:rightFromText="141" w:vertAnchor="text" w:horzAnchor="margin" w:tblpY="185"/>
        <w:tblW w:w="7441"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2202"/>
        <w:gridCol w:w="136"/>
        <w:gridCol w:w="1985"/>
        <w:gridCol w:w="518"/>
        <w:gridCol w:w="2600"/>
      </w:tblGrid>
      <w:tr w:rsidR="00671790" w:rsidRPr="00E72E07" w:rsidTr="00EA5370">
        <w:tc>
          <w:tcPr>
            <w:tcW w:w="2202" w:type="dxa"/>
            <w:tcBorders>
              <w:top w:val="single" w:sz="24" w:space="0" w:color="auto"/>
            </w:tcBorders>
          </w:tcPr>
          <w:p w:rsidR="00671790" w:rsidRPr="00E72E07" w:rsidRDefault="00671790" w:rsidP="00EA5370">
            <w:pPr>
              <w:spacing w:after="0" w:line="240" w:lineRule="auto"/>
              <w:jc w:val="center"/>
              <w:rPr>
                <w:rFonts w:ascii="Times New Roman" w:hAnsi="Times New Roman"/>
                <w:b/>
                <w:bCs/>
              </w:rPr>
            </w:pPr>
            <w:r w:rsidRPr="00E72E07">
              <w:rPr>
                <w:rFonts w:ascii="Times New Roman" w:hAnsi="Times New Roman"/>
                <w:b/>
                <w:bCs/>
              </w:rPr>
              <w:t>Variáveis</w:t>
            </w:r>
          </w:p>
        </w:tc>
        <w:tc>
          <w:tcPr>
            <w:tcW w:w="2121" w:type="dxa"/>
            <w:gridSpan w:val="2"/>
            <w:tcBorders>
              <w:top w:val="single" w:sz="24" w:space="0" w:color="auto"/>
              <w:bottom w:val="single" w:sz="6" w:space="0" w:color="auto"/>
            </w:tcBorders>
          </w:tcPr>
          <w:p w:rsidR="00671790" w:rsidRPr="00E72E07" w:rsidRDefault="00671790" w:rsidP="00EA5370">
            <w:pPr>
              <w:spacing w:after="0" w:line="240" w:lineRule="auto"/>
              <w:jc w:val="center"/>
              <w:rPr>
                <w:rFonts w:ascii="Times New Roman" w:hAnsi="Times New Roman"/>
                <w:b/>
                <w:bCs/>
              </w:rPr>
            </w:pPr>
          </w:p>
        </w:tc>
        <w:tc>
          <w:tcPr>
            <w:tcW w:w="518" w:type="dxa"/>
            <w:tcBorders>
              <w:top w:val="single" w:sz="24" w:space="0" w:color="auto"/>
              <w:bottom w:val="single" w:sz="6" w:space="0" w:color="auto"/>
            </w:tcBorders>
          </w:tcPr>
          <w:p w:rsidR="00671790" w:rsidRPr="00E72E07" w:rsidRDefault="00671790" w:rsidP="00EA5370">
            <w:pPr>
              <w:spacing w:after="0" w:line="240" w:lineRule="auto"/>
              <w:jc w:val="center"/>
              <w:rPr>
                <w:rFonts w:ascii="Times New Roman" w:hAnsi="Times New Roman"/>
                <w:b/>
                <w:bCs/>
              </w:rPr>
            </w:pPr>
            <w:r>
              <w:rPr>
                <w:rFonts w:ascii="Times New Roman" w:hAnsi="Times New Roman"/>
                <w:b/>
                <w:bCs/>
              </w:rPr>
              <w:t>n</w:t>
            </w:r>
          </w:p>
        </w:tc>
        <w:tc>
          <w:tcPr>
            <w:tcW w:w="2600" w:type="dxa"/>
            <w:tcBorders>
              <w:top w:val="single" w:sz="24" w:space="0" w:color="auto"/>
              <w:bottom w:val="single" w:sz="6" w:space="0" w:color="auto"/>
            </w:tcBorders>
          </w:tcPr>
          <w:p w:rsidR="00671790" w:rsidRPr="00E72E07" w:rsidRDefault="00671790" w:rsidP="00EA5370">
            <w:pPr>
              <w:spacing w:after="0" w:line="240" w:lineRule="auto"/>
              <w:jc w:val="center"/>
              <w:rPr>
                <w:rFonts w:ascii="Times New Roman" w:hAnsi="Times New Roman"/>
                <w:b/>
                <w:bCs/>
              </w:rPr>
            </w:pPr>
            <w:r>
              <w:rPr>
                <w:rFonts w:ascii="Times New Roman" w:hAnsi="Times New Roman"/>
                <w:b/>
                <w:bCs/>
              </w:rPr>
              <w:t>%</w:t>
            </w:r>
          </w:p>
        </w:tc>
      </w:tr>
      <w:tr w:rsidR="00671790" w:rsidRPr="00E72E07" w:rsidTr="00EA5370">
        <w:trPr>
          <w:trHeight w:val="203"/>
        </w:trPr>
        <w:tc>
          <w:tcPr>
            <w:tcW w:w="2202" w:type="dxa"/>
            <w:vMerge w:val="restart"/>
          </w:tcPr>
          <w:p w:rsidR="00671790" w:rsidRPr="00EA5370" w:rsidRDefault="00671790" w:rsidP="00EA5370">
            <w:pPr>
              <w:spacing w:after="0" w:line="240" w:lineRule="auto"/>
              <w:jc w:val="center"/>
              <w:rPr>
                <w:rFonts w:ascii="Times New Roman" w:hAnsi="Times New Roman"/>
                <w:bCs/>
              </w:rPr>
            </w:pPr>
            <w:r w:rsidRPr="00EA5370">
              <w:rPr>
                <w:rFonts w:ascii="Times New Roman" w:hAnsi="Times New Roman"/>
              </w:rPr>
              <w:t>Hemisfério Cerebral Acometido</w:t>
            </w:r>
          </w:p>
        </w:tc>
        <w:tc>
          <w:tcPr>
            <w:tcW w:w="2121" w:type="dxa"/>
            <w:gridSpan w:val="2"/>
            <w:tcBorders>
              <w:bottom w:val="nil"/>
            </w:tcBorders>
          </w:tcPr>
          <w:p w:rsidR="00671790" w:rsidRPr="00E72E07" w:rsidRDefault="00671790" w:rsidP="00EA5370">
            <w:pPr>
              <w:spacing w:after="0" w:line="240" w:lineRule="auto"/>
              <w:jc w:val="center"/>
              <w:rPr>
                <w:rFonts w:ascii="Times New Roman" w:hAnsi="Times New Roman"/>
                <w:b/>
                <w:bCs/>
              </w:rPr>
            </w:pPr>
            <w:r w:rsidRPr="00E72E07">
              <w:rPr>
                <w:rFonts w:ascii="Times New Roman" w:hAnsi="Times New Roman"/>
                <w:bCs/>
              </w:rPr>
              <w:t>Esquerdo</w:t>
            </w:r>
          </w:p>
        </w:tc>
        <w:tc>
          <w:tcPr>
            <w:tcW w:w="518" w:type="dxa"/>
            <w:tcBorders>
              <w:bottom w:val="nil"/>
            </w:tcBorders>
          </w:tcPr>
          <w:p w:rsidR="00671790" w:rsidRPr="00B001A0" w:rsidRDefault="00B001A0" w:rsidP="00EA5370">
            <w:pPr>
              <w:spacing w:after="0" w:line="240" w:lineRule="auto"/>
              <w:jc w:val="center"/>
              <w:rPr>
                <w:rFonts w:ascii="Times New Roman" w:hAnsi="Times New Roman"/>
                <w:bCs/>
              </w:rPr>
            </w:pPr>
            <w:r w:rsidRPr="00B001A0">
              <w:rPr>
                <w:rFonts w:ascii="Times New Roman" w:hAnsi="Times New Roman"/>
                <w:bCs/>
              </w:rPr>
              <w:t>22</w:t>
            </w:r>
          </w:p>
        </w:tc>
        <w:tc>
          <w:tcPr>
            <w:tcW w:w="2600" w:type="dxa"/>
            <w:tcBorders>
              <w:bottom w:val="nil"/>
            </w:tcBorders>
          </w:tcPr>
          <w:p w:rsidR="00671790" w:rsidRPr="00E72E07" w:rsidRDefault="00671790" w:rsidP="00EA5370">
            <w:pPr>
              <w:spacing w:after="0" w:line="240" w:lineRule="auto"/>
              <w:jc w:val="center"/>
              <w:rPr>
                <w:rFonts w:ascii="Times New Roman" w:hAnsi="Times New Roman"/>
                <w:b/>
                <w:bCs/>
              </w:rPr>
            </w:pPr>
            <w:r>
              <w:rPr>
                <w:rFonts w:ascii="Times New Roman" w:hAnsi="Times New Roman"/>
                <w:bCs/>
              </w:rPr>
              <w:t>56,41</w:t>
            </w:r>
          </w:p>
        </w:tc>
      </w:tr>
      <w:tr w:rsidR="00671790" w:rsidRPr="00E72E07" w:rsidTr="00EA5370">
        <w:trPr>
          <w:trHeight w:val="203"/>
        </w:trPr>
        <w:tc>
          <w:tcPr>
            <w:tcW w:w="2202" w:type="dxa"/>
            <w:vMerge/>
          </w:tcPr>
          <w:p w:rsidR="00671790" w:rsidRPr="00EA5370" w:rsidRDefault="00671790" w:rsidP="00EA5370">
            <w:pPr>
              <w:spacing w:after="0" w:line="240" w:lineRule="auto"/>
              <w:jc w:val="center"/>
              <w:rPr>
                <w:rFonts w:ascii="Times New Roman" w:hAnsi="Times New Roman"/>
              </w:rPr>
            </w:pPr>
          </w:p>
        </w:tc>
        <w:tc>
          <w:tcPr>
            <w:tcW w:w="2121" w:type="dxa"/>
            <w:gridSpan w:val="2"/>
            <w:tcBorders>
              <w:top w:val="nil"/>
              <w:bottom w:val="nil"/>
            </w:tcBorders>
          </w:tcPr>
          <w:p w:rsidR="00671790" w:rsidRDefault="00671790" w:rsidP="00EA5370">
            <w:pPr>
              <w:spacing w:after="0" w:line="240" w:lineRule="auto"/>
              <w:jc w:val="center"/>
              <w:rPr>
                <w:rFonts w:ascii="Times New Roman" w:hAnsi="Times New Roman"/>
                <w:bCs/>
              </w:rPr>
            </w:pPr>
            <w:r w:rsidRPr="00E72E07">
              <w:rPr>
                <w:rFonts w:ascii="Times New Roman" w:hAnsi="Times New Roman"/>
                <w:bCs/>
              </w:rPr>
              <w:t>Direito</w:t>
            </w:r>
          </w:p>
        </w:tc>
        <w:tc>
          <w:tcPr>
            <w:tcW w:w="518" w:type="dxa"/>
            <w:tcBorders>
              <w:top w:val="nil"/>
              <w:bottom w:val="nil"/>
            </w:tcBorders>
          </w:tcPr>
          <w:p w:rsidR="00671790" w:rsidRPr="00B001A0" w:rsidRDefault="00B001A0" w:rsidP="00EA5370">
            <w:pPr>
              <w:spacing w:after="0" w:line="240" w:lineRule="auto"/>
              <w:jc w:val="center"/>
              <w:rPr>
                <w:rFonts w:ascii="Times New Roman" w:hAnsi="Times New Roman"/>
                <w:bCs/>
              </w:rPr>
            </w:pPr>
            <w:r w:rsidRPr="00B001A0">
              <w:rPr>
                <w:rFonts w:ascii="Times New Roman" w:hAnsi="Times New Roman"/>
                <w:bCs/>
              </w:rPr>
              <w:t>10</w:t>
            </w:r>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bCs/>
              </w:rPr>
            </w:pPr>
            <w:r>
              <w:rPr>
                <w:rFonts w:ascii="Times New Roman" w:hAnsi="Times New Roman"/>
                <w:bCs/>
              </w:rPr>
              <w:t>25,64</w:t>
            </w:r>
          </w:p>
        </w:tc>
      </w:tr>
      <w:tr w:rsidR="00671790" w:rsidRPr="00E72E07" w:rsidTr="00EA5370">
        <w:trPr>
          <w:trHeight w:val="238"/>
        </w:trPr>
        <w:tc>
          <w:tcPr>
            <w:tcW w:w="2202" w:type="dxa"/>
            <w:vMerge/>
          </w:tcPr>
          <w:p w:rsidR="00671790" w:rsidRPr="00EA5370" w:rsidRDefault="00671790" w:rsidP="00EA5370">
            <w:pPr>
              <w:spacing w:after="0" w:line="240" w:lineRule="auto"/>
              <w:jc w:val="center"/>
              <w:rPr>
                <w:rFonts w:ascii="Times New Roman" w:hAnsi="Times New Roman"/>
              </w:rPr>
            </w:pPr>
          </w:p>
        </w:tc>
        <w:tc>
          <w:tcPr>
            <w:tcW w:w="2121" w:type="dxa"/>
            <w:gridSpan w:val="2"/>
            <w:tcBorders>
              <w:top w:val="nil"/>
              <w:bottom w:val="nil"/>
            </w:tcBorders>
          </w:tcPr>
          <w:p w:rsidR="00671790" w:rsidRDefault="00671790" w:rsidP="00EA5370">
            <w:pPr>
              <w:spacing w:after="0" w:line="240" w:lineRule="auto"/>
              <w:jc w:val="center"/>
              <w:rPr>
                <w:rFonts w:ascii="Times New Roman" w:hAnsi="Times New Roman"/>
                <w:bCs/>
              </w:rPr>
            </w:pPr>
            <w:r w:rsidRPr="00E72E07">
              <w:rPr>
                <w:rFonts w:ascii="Times New Roman" w:hAnsi="Times New Roman"/>
                <w:bCs/>
              </w:rPr>
              <w:t>Direito e Esquerdo</w:t>
            </w:r>
          </w:p>
        </w:tc>
        <w:tc>
          <w:tcPr>
            <w:tcW w:w="518" w:type="dxa"/>
            <w:tcBorders>
              <w:top w:val="nil"/>
              <w:bottom w:val="nil"/>
            </w:tcBorders>
          </w:tcPr>
          <w:p w:rsidR="00671790" w:rsidRPr="00E72E07" w:rsidRDefault="00B001A0" w:rsidP="00EA5370">
            <w:pPr>
              <w:spacing w:after="0" w:line="240" w:lineRule="auto"/>
              <w:jc w:val="center"/>
              <w:rPr>
                <w:rFonts w:ascii="Times New Roman" w:hAnsi="Times New Roman"/>
                <w:bCs/>
              </w:rPr>
            </w:pPr>
            <w:proofErr w:type="gramStart"/>
            <w:r>
              <w:rPr>
                <w:rFonts w:ascii="Times New Roman" w:hAnsi="Times New Roman"/>
                <w:bCs/>
              </w:rPr>
              <w:t>3</w:t>
            </w:r>
            <w:proofErr w:type="gramEnd"/>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bCs/>
              </w:rPr>
            </w:pPr>
            <w:r w:rsidRPr="00E72E07">
              <w:rPr>
                <w:rFonts w:ascii="Times New Roman" w:hAnsi="Times New Roman"/>
                <w:bCs/>
              </w:rPr>
              <w:t>7,69</w:t>
            </w:r>
          </w:p>
        </w:tc>
      </w:tr>
      <w:tr w:rsidR="00671790" w:rsidRPr="00E72E07" w:rsidTr="00EA5370">
        <w:trPr>
          <w:trHeight w:val="183"/>
        </w:trPr>
        <w:tc>
          <w:tcPr>
            <w:tcW w:w="2202" w:type="dxa"/>
            <w:vMerge/>
          </w:tcPr>
          <w:p w:rsidR="00671790" w:rsidRPr="00EA5370" w:rsidRDefault="00671790" w:rsidP="00EA5370">
            <w:pPr>
              <w:spacing w:after="0" w:line="240" w:lineRule="auto"/>
              <w:jc w:val="center"/>
              <w:rPr>
                <w:rFonts w:ascii="Times New Roman" w:hAnsi="Times New Roman"/>
              </w:rPr>
            </w:pPr>
          </w:p>
        </w:tc>
        <w:tc>
          <w:tcPr>
            <w:tcW w:w="2121" w:type="dxa"/>
            <w:gridSpan w:val="2"/>
            <w:tcBorders>
              <w:top w:val="nil"/>
              <w:bottom w:val="single" w:sz="6" w:space="0" w:color="auto"/>
            </w:tcBorders>
          </w:tcPr>
          <w:p w:rsidR="00671790" w:rsidRDefault="00671790" w:rsidP="00EA5370">
            <w:pPr>
              <w:spacing w:after="0" w:line="240" w:lineRule="auto"/>
              <w:jc w:val="center"/>
              <w:rPr>
                <w:rFonts w:ascii="Times New Roman" w:hAnsi="Times New Roman"/>
                <w:bCs/>
              </w:rPr>
            </w:pPr>
            <w:r w:rsidRPr="00E72E07">
              <w:rPr>
                <w:rFonts w:ascii="Times New Roman" w:hAnsi="Times New Roman"/>
                <w:bCs/>
              </w:rPr>
              <w:t>Não definido</w:t>
            </w:r>
          </w:p>
        </w:tc>
        <w:tc>
          <w:tcPr>
            <w:tcW w:w="518" w:type="dxa"/>
            <w:tcBorders>
              <w:top w:val="nil"/>
              <w:bottom w:val="single" w:sz="6" w:space="0" w:color="auto"/>
            </w:tcBorders>
          </w:tcPr>
          <w:p w:rsidR="00671790" w:rsidRPr="00E72E07" w:rsidRDefault="00B001A0" w:rsidP="00EA5370">
            <w:pPr>
              <w:spacing w:after="0" w:line="240" w:lineRule="auto"/>
              <w:jc w:val="center"/>
              <w:rPr>
                <w:rFonts w:ascii="Times New Roman" w:hAnsi="Times New Roman"/>
                <w:bCs/>
              </w:rPr>
            </w:pPr>
            <w:proofErr w:type="gramStart"/>
            <w:r>
              <w:rPr>
                <w:rFonts w:ascii="Times New Roman" w:hAnsi="Times New Roman"/>
                <w:bCs/>
              </w:rPr>
              <w:t>4</w:t>
            </w:r>
            <w:proofErr w:type="gramEnd"/>
          </w:p>
        </w:tc>
        <w:tc>
          <w:tcPr>
            <w:tcW w:w="2600" w:type="dxa"/>
            <w:tcBorders>
              <w:top w:val="nil"/>
              <w:bottom w:val="single" w:sz="6" w:space="0" w:color="auto"/>
            </w:tcBorders>
          </w:tcPr>
          <w:p w:rsidR="00671790" w:rsidRPr="00E72E07" w:rsidRDefault="00671790" w:rsidP="00EA5370">
            <w:pPr>
              <w:spacing w:after="0" w:line="240" w:lineRule="auto"/>
              <w:jc w:val="center"/>
              <w:rPr>
                <w:rFonts w:ascii="Times New Roman" w:hAnsi="Times New Roman"/>
                <w:bCs/>
              </w:rPr>
            </w:pPr>
            <w:r w:rsidRPr="00E72E07">
              <w:rPr>
                <w:rFonts w:ascii="Times New Roman" w:hAnsi="Times New Roman"/>
                <w:bCs/>
              </w:rPr>
              <w:t>10,26</w:t>
            </w:r>
          </w:p>
        </w:tc>
      </w:tr>
      <w:tr w:rsidR="00671790" w:rsidRPr="00E72E07" w:rsidTr="00EA5370">
        <w:trPr>
          <w:trHeight w:val="194"/>
        </w:trPr>
        <w:tc>
          <w:tcPr>
            <w:tcW w:w="2202" w:type="dxa"/>
            <w:vMerge w:val="restart"/>
          </w:tcPr>
          <w:p w:rsidR="00671790" w:rsidRPr="00EA5370" w:rsidRDefault="00671790" w:rsidP="00EA5370">
            <w:pPr>
              <w:spacing w:after="0" w:line="240" w:lineRule="auto"/>
              <w:jc w:val="center"/>
              <w:rPr>
                <w:rFonts w:ascii="Times New Roman" w:hAnsi="Times New Roman"/>
              </w:rPr>
            </w:pPr>
            <w:r w:rsidRPr="00EA5370">
              <w:rPr>
                <w:rFonts w:ascii="Times New Roman" w:hAnsi="Times New Roman"/>
                <w:bCs/>
              </w:rPr>
              <w:t xml:space="preserve">Etiologia </w:t>
            </w:r>
            <w:proofErr w:type="gramStart"/>
            <w:r w:rsidRPr="00EA5370">
              <w:rPr>
                <w:rFonts w:ascii="Times New Roman" w:hAnsi="Times New Roman"/>
                <w:bCs/>
              </w:rPr>
              <w:t>do AVE</w:t>
            </w:r>
            <w:proofErr w:type="gramEnd"/>
          </w:p>
        </w:tc>
        <w:tc>
          <w:tcPr>
            <w:tcW w:w="2121" w:type="dxa"/>
            <w:gridSpan w:val="2"/>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Isquêmico</w:t>
            </w:r>
          </w:p>
        </w:tc>
        <w:tc>
          <w:tcPr>
            <w:tcW w:w="518" w:type="dxa"/>
            <w:tcBorders>
              <w:bottom w:val="nil"/>
            </w:tcBorders>
          </w:tcPr>
          <w:p w:rsidR="00671790" w:rsidRPr="00E72E07" w:rsidRDefault="00B001A0" w:rsidP="00EA5370">
            <w:pPr>
              <w:spacing w:after="0" w:line="240" w:lineRule="auto"/>
              <w:jc w:val="center"/>
              <w:rPr>
                <w:rFonts w:ascii="Times New Roman" w:hAnsi="Times New Roman"/>
              </w:rPr>
            </w:pPr>
            <w:r>
              <w:rPr>
                <w:rFonts w:ascii="Times New Roman" w:hAnsi="Times New Roman"/>
              </w:rPr>
              <w:t>24</w:t>
            </w:r>
          </w:p>
        </w:tc>
        <w:tc>
          <w:tcPr>
            <w:tcW w:w="2600" w:type="dxa"/>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61,54</w:t>
            </w:r>
          </w:p>
        </w:tc>
      </w:tr>
      <w:tr w:rsidR="00671790" w:rsidRPr="00E72E07" w:rsidTr="00EA5370">
        <w:trPr>
          <w:trHeight w:val="230"/>
        </w:trPr>
        <w:tc>
          <w:tcPr>
            <w:tcW w:w="2202" w:type="dxa"/>
            <w:vMerge/>
          </w:tcPr>
          <w:p w:rsidR="00671790" w:rsidRPr="00EA5370" w:rsidRDefault="00671790" w:rsidP="00EA5370">
            <w:pPr>
              <w:spacing w:after="0" w:line="240" w:lineRule="auto"/>
              <w:jc w:val="center"/>
              <w:rPr>
                <w:rFonts w:ascii="Times New Roman" w:hAnsi="Times New Roman"/>
                <w:bCs/>
              </w:rPr>
            </w:pPr>
          </w:p>
        </w:tc>
        <w:tc>
          <w:tcPr>
            <w:tcW w:w="2121" w:type="dxa"/>
            <w:gridSpan w:val="2"/>
            <w:tcBorders>
              <w:top w:val="nil"/>
              <w:bottom w:val="nil"/>
            </w:tcBorders>
          </w:tcPr>
          <w:p w:rsidR="00671790" w:rsidRDefault="00671790" w:rsidP="00EA5370">
            <w:pPr>
              <w:spacing w:after="0" w:line="240" w:lineRule="auto"/>
              <w:jc w:val="center"/>
              <w:rPr>
                <w:rFonts w:ascii="Times New Roman" w:hAnsi="Times New Roman"/>
              </w:rPr>
            </w:pPr>
            <w:r w:rsidRPr="00E72E07">
              <w:rPr>
                <w:rFonts w:ascii="Times New Roman" w:hAnsi="Times New Roman"/>
              </w:rPr>
              <w:t>Hemorrágico</w:t>
            </w:r>
          </w:p>
        </w:tc>
        <w:tc>
          <w:tcPr>
            <w:tcW w:w="518" w:type="dxa"/>
            <w:tcBorders>
              <w:top w:val="nil"/>
              <w:bottom w:val="nil"/>
            </w:tcBorders>
          </w:tcPr>
          <w:p w:rsidR="00671790" w:rsidRPr="00E72E07" w:rsidRDefault="00B001A0" w:rsidP="00EA5370">
            <w:pPr>
              <w:spacing w:after="0" w:line="240" w:lineRule="auto"/>
              <w:jc w:val="center"/>
              <w:rPr>
                <w:rFonts w:ascii="Times New Roman" w:hAnsi="Times New Roman"/>
              </w:rPr>
            </w:pPr>
            <w:proofErr w:type="gramStart"/>
            <w:r>
              <w:rPr>
                <w:rFonts w:ascii="Times New Roman" w:hAnsi="Times New Roman"/>
              </w:rPr>
              <w:t>9</w:t>
            </w:r>
            <w:proofErr w:type="gramEnd"/>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23,08</w:t>
            </w:r>
          </w:p>
        </w:tc>
      </w:tr>
      <w:tr w:rsidR="00671790" w:rsidRPr="00E72E07" w:rsidTr="00EA5370">
        <w:trPr>
          <w:trHeight w:val="268"/>
        </w:trPr>
        <w:tc>
          <w:tcPr>
            <w:tcW w:w="2202" w:type="dxa"/>
            <w:vMerge/>
          </w:tcPr>
          <w:p w:rsidR="00671790" w:rsidRPr="00EA5370" w:rsidRDefault="00671790" w:rsidP="00EA5370">
            <w:pPr>
              <w:spacing w:after="0" w:line="240" w:lineRule="auto"/>
              <w:jc w:val="center"/>
              <w:rPr>
                <w:rFonts w:ascii="Times New Roman" w:hAnsi="Times New Roman"/>
                <w:bCs/>
              </w:rPr>
            </w:pPr>
          </w:p>
        </w:tc>
        <w:tc>
          <w:tcPr>
            <w:tcW w:w="2121" w:type="dxa"/>
            <w:gridSpan w:val="2"/>
            <w:tcBorders>
              <w:top w:val="nil"/>
            </w:tcBorders>
          </w:tcPr>
          <w:p w:rsidR="00671790" w:rsidRDefault="00671790" w:rsidP="00EA5370">
            <w:pPr>
              <w:spacing w:after="0" w:line="240" w:lineRule="auto"/>
              <w:jc w:val="center"/>
              <w:rPr>
                <w:rFonts w:ascii="Times New Roman" w:hAnsi="Times New Roman"/>
              </w:rPr>
            </w:pPr>
            <w:r w:rsidRPr="00E72E07">
              <w:rPr>
                <w:rFonts w:ascii="Times New Roman" w:hAnsi="Times New Roman"/>
              </w:rPr>
              <w:t>Sem identificação</w:t>
            </w:r>
          </w:p>
        </w:tc>
        <w:tc>
          <w:tcPr>
            <w:tcW w:w="518" w:type="dxa"/>
            <w:tcBorders>
              <w:top w:val="nil"/>
            </w:tcBorders>
          </w:tcPr>
          <w:p w:rsidR="00671790" w:rsidRPr="00E72E07" w:rsidRDefault="00B001A0" w:rsidP="00EA5370">
            <w:pPr>
              <w:spacing w:after="0" w:line="240" w:lineRule="auto"/>
              <w:jc w:val="center"/>
              <w:rPr>
                <w:rFonts w:ascii="Times New Roman" w:hAnsi="Times New Roman"/>
              </w:rPr>
            </w:pPr>
            <w:proofErr w:type="gramStart"/>
            <w:r>
              <w:rPr>
                <w:rFonts w:ascii="Times New Roman" w:hAnsi="Times New Roman"/>
              </w:rPr>
              <w:t>6</w:t>
            </w:r>
            <w:proofErr w:type="gramEnd"/>
          </w:p>
        </w:tc>
        <w:tc>
          <w:tcPr>
            <w:tcW w:w="2600" w:type="dxa"/>
            <w:tcBorders>
              <w:top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15,38</w:t>
            </w:r>
          </w:p>
        </w:tc>
      </w:tr>
      <w:tr w:rsidR="00B001A0" w:rsidRPr="00E72E07" w:rsidTr="00EA5370">
        <w:tc>
          <w:tcPr>
            <w:tcW w:w="2338" w:type="dxa"/>
            <w:gridSpan w:val="2"/>
          </w:tcPr>
          <w:p w:rsidR="00B001A0" w:rsidRPr="00EA5370" w:rsidRDefault="00B001A0" w:rsidP="00EA5370">
            <w:pPr>
              <w:spacing w:after="0" w:line="240" w:lineRule="auto"/>
              <w:jc w:val="center"/>
              <w:rPr>
                <w:rFonts w:ascii="Times New Roman" w:hAnsi="Times New Roman"/>
              </w:rPr>
            </w:pPr>
            <w:r w:rsidRPr="00EA5370">
              <w:rPr>
                <w:rFonts w:ascii="Times New Roman" w:hAnsi="Times New Roman"/>
              </w:rPr>
              <w:t>Tempo de Lesão</w:t>
            </w:r>
            <w:r w:rsidR="005A1425">
              <w:rPr>
                <w:rFonts w:ascii="Times New Roman" w:hAnsi="Times New Roman"/>
              </w:rPr>
              <w:t xml:space="preserve"> </w:t>
            </w:r>
            <w:r w:rsidRPr="00EA5370">
              <w:rPr>
                <w:rFonts w:ascii="Times New Roman" w:hAnsi="Times New Roman"/>
              </w:rPr>
              <w:t>(Anos)</w:t>
            </w:r>
          </w:p>
        </w:tc>
        <w:tc>
          <w:tcPr>
            <w:tcW w:w="5103" w:type="dxa"/>
            <w:gridSpan w:val="3"/>
          </w:tcPr>
          <w:p w:rsidR="00B001A0" w:rsidRPr="00E72E07" w:rsidRDefault="00B001A0" w:rsidP="00EA5370">
            <w:pPr>
              <w:spacing w:after="0" w:line="240" w:lineRule="auto"/>
              <w:jc w:val="center"/>
              <w:rPr>
                <w:rFonts w:ascii="Times New Roman" w:hAnsi="Times New Roman"/>
              </w:rPr>
            </w:pPr>
            <w:r w:rsidRPr="00E72E07">
              <w:rPr>
                <w:rFonts w:ascii="Times New Roman" w:hAnsi="Times New Roman"/>
              </w:rPr>
              <w:t>6,7±6,9</w:t>
            </w:r>
          </w:p>
        </w:tc>
      </w:tr>
      <w:tr w:rsidR="00671790" w:rsidRPr="00E72E07" w:rsidTr="00EA5370">
        <w:trPr>
          <w:trHeight w:val="239"/>
        </w:trPr>
        <w:tc>
          <w:tcPr>
            <w:tcW w:w="2202" w:type="dxa"/>
            <w:vMerge w:val="restart"/>
          </w:tcPr>
          <w:p w:rsidR="00671790" w:rsidRPr="00EA5370" w:rsidRDefault="00671790" w:rsidP="00EA5370">
            <w:pPr>
              <w:spacing w:after="0" w:line="240" w:lineRule="auto"/>
              <w:jc w:val="center"/>
              <w:rPr>
                <w:rFonts w:ascii="Times New Roman" w:hAnsi="Times New Roman"/>
                <w:bCs/>
                <w:lang w:val="en-US"/>
              </w:rPr>
            </w:pPr>
            <w:proofErr w:type="spellStart"/>
            <w:r w:rsidRPr="00EA5370">
              <w:rPr>
                <w:rFonts w:ascii="Times New Roman" w:hAnsi="Times New Roman"/>
                <w:bCs/>
                <w:lang w:val="en-US"/>
              </w:rPr>
              <w:t>Eventos</w:t>
            </w:r>
            <w:proofErr w:type="spellEnd"/>
            <w:r w:rsidRPr="00EA5370">
              <w:rPr>
                <w:rFonts w:ascii="Times New Roman" w:hAnsi="Times New Roman"/>
                <w:bCs/>
                <w:lang w:val="en-US"/>
              </w:rPr>
              <w:t xml:space="preserve"> de AVE</w:t>
            </w:r>
          </w:p>
        </w:tc>
        <w:tc>
          <w:tcPr>
            <w:tcW w:w="2121" w:type="dxa"/>
            <w:gridSpan w:val="2"/>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Único</w:t>
            </w:r>
            <w:r>
              <w:rPr>
                <w:rFonts w:ascii="Times New Roman" w:hAnsi="Times New Roman"/>
              </w:rPr>
              <w:t xml:space="preserve"> evento</w:t>
            </w:r>
          </w:p>
        </w:tc>
        <w:tc>
          <w:tcPr>
            <w:tcW w:w="518" w:type="dxa"/>
            <w:tcBorders>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26</w:t>
            </w:r>
          </w:p>
        </w:tc>
        <w:tc>
          <w:tcPr>
            <w:tcW w:w="2600" w:type="dxa"/>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66,67</w:t>
            </w:r>
          </w:p>
        </w:tc>
      </w:tr>
      <w:tr w:rsidR="00671790" w:rsidRPr="00E72E07" w:rsidTr="00EA5370">
        <w:trPr>
          <w:trHeight w:val="185"/>
        </w:trPr>
        <w:tc>
          <w:tcPr>
            <w:tcW w:w="2202" w:type="dxa"/>
            <w:vMerge/>
          </w:tcPr>
          <w:p w:rsidR="00671790" w:rsidRPr="00EA5370" w:rsidRDefault="00671790" w:rsidP="00EA5370">
            <w:pPr>
              <w:spacing w:after="0" w:line="240" w:lineRule="auto"/>
              <w:jc w:val="center"/>
              <w:rPr>
                <w:rFonts w:ascii="Times New Roman" w:hAnsi="Times New Roman"/>
                <w:bCs/>
                <w:lang w:val="en-US"/>
              </w:rPr>
            </w:pPr>
          </w:p>
        </w:tc>
        <w:tc>
          <w:tcPr>
            <w:tcW w:w="2121" w:type="dxa"/>
            <w:gridSpan w:val="2"/>
            <w:tcBorders>
              <w:top w:val="nil"/>
              <w:bottom w:val="nil"/>
            </w:tcBorders>
          </w:tcPr>
          <w:p w:rsidR="00671790" w:rsidRDefault="00671790" w:rsidP="00EA5370">
            <w:pPr>
              <w:spacing w:after="0" w:line="240" w:lineRule="auto"/>
              <w:jc w:val="center"/>
              <w:rPr>
                <w:rFonts w:ascii="Times New Roman" w:hAnsi="Times New Roman"/>
              </w:rPr>
            </w:pPr>
            <w:r w:rsidRPr="00E72E07">
              <w:rPr>
                <w:rFonts w:ascii="Times New Roman" w:hAnsi="Times New Roman"/>
              </w:rPr>
              <w:t>Dois eventos</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proofErr w:type="gramStart"/>
            <w:r>
              <w:rPr>
                <w:rFonts w:ascii="Times New Roman" w:hAnsi="Times New Roman"/>
              </w:rPr>
              <w:t>9</w:t>
            </w:r>
            <w:proofErr w:type="gramEnd"/>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23,08</w:t>
            </w:r>
          </w:p>
        </w:tc>
      </w:tr>
      <w:tr w:rsidR="00671790" w:rsidRPr="00E72E07" w:rsidTr="00EA5370">
        <w:trPr>
          <w:trHeight w:val="212"/>
        </w:trPr>
        <w:tc>
          <w:tcPr>
            <w:tcW w:w="2202" w:type="dxa"/>
            <w:vMerge/>
          </w:tcPr>
          <w:p w:rsidR="00671790" w:rsidRPr="00EA5370" w:rsidRDefault="00671790" w:rsidP="00EA5370">
            <w:pPr>
              <w:spacing w:after="0" w:line="240" w:lineRule="auto"/>
              <w:jc w:val="center"/>
              <w:rPr>
                <w:rFonts w:ascii="Times New Roman" w:hAnsi="Times New Roman"/>
                <w:bCs/>
                <w:lang w:val="en-US"/>
              </w:rPr>
            </w:pPr>
          </w:p>
        </w:tc>
        <w:tc>
          <w:tcPr>
            <w:tcW w:w="2121" w:type="dxa"/>
            <w:gridSpan w:val="2"/>
            <w:tcBorders>
              <w:top w:val="nil"/>
              <w:bottom w:val="single" w:sz="6" w:space="0" w:color="auto"/>
            </w:tcBorders>
          </w:tcPr>
          <w:p w:rsidR="00671790" w:rsidRDefault="00671790" w:rsidP="00EA5370">
            <w:pPr>
              <w:spacing w:after="0" w:line="240" w:lineRule="auto"/>
              <w:jc w:val="center"/>
              <w:rPr>
                <w:rFonts w:ascii="Times New Roman" w:hAnsi="Times New Roman"/>
              </w:rPr>
            </w:pPr>
            <w:r w:rsidRPr="00E72E07">
              <w:rPr>
                <w:rFonts w:ascii="Times New Roman" w:hAnsi="Times New Roman"/>
              </w:rPr>
              <w:t>Três eventos</w:t>
            </w:r>
          </w:p>
        </w:tc>
        <w:tc>
          <w:tcPr>
            <w:tcW w:w="518" w:type="dxa"/>
            <w:tcBorders>
              <w:top w:val="nil"/>
              <w:bottom w:val="single" w:sz="6" w:space="0" w:color="auto"/>
            </w:tcBorders>
          </w:tcPr>
          <w:p w:rsidR="00671790" w:rsidRPr="00E72E07" w:rsidRDefault="00EA5370" w:rsidP="00EA5370">
            <w:pPr>
              <w:spacing w:after="0" w:line="240" w:lineRule="auto"/>
              <w:jc w:val="center"/>
              <w:rPr>
                <w:rFonts w:ascii="Times New Roman" w:hAnsi="Times New Roman"/>
              </w:rPr>
            </w:pPr>
            <w:proofErr w:type="gramStart"/>
            <w:r>
              <w:rPr>
                <w:rFonts w:ascii="Times New Roman" w:hAnsi="Times New Roman"/>
              </w:rPr>
              <w:t>4</w:t>
            </w:r>
            <w:proofErr w:type="gramEnd"/>
          </w:p>
        </w:tc>
        <w:tc>
          <w:tcPr>
            <w:tcW w:w="2600" w:type="dxa"/>
            <w:tcBorders>
              <w:top w:val="nil"/>
              <w:bottom w:val="single" w:sz="6" w:space="0" w:color="auto"/>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10,26</w:t>
            </w:r>
          </w:p>
        </w:tc>
      </w:tr>
      <w:tr w:rsidR="00671790" w:rsidRPr="00E72E07" w:rsidTr="00EA5370">
        <w:trPr>
          <w:trHeight w:val="239"/>
        </w:trPr>
        <w:tc>
          <w:tcPr>
            <w:tcW w:w="2202" w:type="dxa"/>
            <w:vMerge w:val="restart"/>
          </w:tcPr>
          <w:p w:rsidR="00671790" w:rsidRPr="00EA5370" w:rsidRDefault="00671790" w:rsidP="00EA5370">
            <w:pPr>
              <w:spacing w:after="0" w:line="240" w:lineRule="auto"/>
              <w:jc w:val="center"/>
              <w:rPr>
                <w:rFonts w:ascii="Times New Roman" w:hAnsi="Times New Roman"/>
                <w:bCs/>
              </w:rPr>
            </w:pPr>
            <w:r w:rsidRPr="00EA5370">
              <w:rPr>
                <w:rFonts w:ascii="Times New Roman" w:hAnsi="Times New Roman"/>
                <w:bCs/>
              </w:rPr>
              <w:t xml:space="preserve">Presença de </w:t>
            </w:r>
            <w:r w:rsidR="00B001A0" w:rsidRPr="00EA5370">
              <w:rPr>
                <w:rFonts w:ascii="Times New Roman" w:hAnsi="Times New Roman"/>
                <w:bCs/>
              </w:rPr>
              <w:t>FR</w:t>
            </w:r>
          </w:p>
        </w:tc>
        <w:tc>
          <w:tcPr>
            <w:tcW w:w="2121" w:type="dxa"/>
            <w:gridSpan w:val="2"/>
            <w:tcBorders>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Sim</w:t>
            </w:r>
          </w:p>
        </w:tc>
        <w:tc>
          <w:tcPr>
            <w:tcW w:w="518" w:type="dxa"/>
            <w:tcBorders>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38</w:t>
            </w:r>
          </w:p>
        </w:tc>
        <w:tc>
          <w:tcPr>
            <w:tcW w:w="2600" w:type="dxa"/>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97,4</w:t>
            </w:r>
          </w:p>
        </w:tc>
      </w:tr>
      <w:tr w:rsidR="00671790" w:rsidRPr="00E72E07" w:rsidTr="00EA5370">
        <w:trPr>
          <w:trHeight w:val="265"/>
        </w:trPr>
        <w:tc>
          <w:tcPr>
            <w:tcW w:w="2202" w:type="dxa"/>
            <w:vMerge/>
          </w:tcPr>
          <w:p w:rsidR="00671790" w:rsidRPr="00EA5370" w:rsidRDefault="00671790" w:rsidP="00EA5370">
            <w:pPr>
              <w:spacing w:after="0" w:line="240" w:lineRule="auto"/>
              <w:jc w:val="center"/>
              <w:rPr>
                <w:rFonts w:ascii="Times New Roman" w:hAnsi="Times New Roman"/>
                <w:bCs/>
              </w:rPr>
            </w:pPr>
          </w:p>
        </w:tc>
        <w:tc>
          <w:tcPr>
            <w:tcW w:w="2121" w:type="dxa"/>
            <w:gridSpan w:val="2"/>
            <w:tcBorders>
              <w:top w:val="nil"/>
              <w:bottom w:val="single" w:sz="6" w:space="0" w:color="auto"/>
            </w:tcBorders>
          </w:tcPr>
          <w:p w:rsidR="00671790" w:rsidRDefault="00671790" w:rsidP="00EA5370">
            <w:pPr>
              <w:spacing w:after="0" w:line="240" w:lineRule="auto"/>
              <w:jc w:val="center"/>
              <w:rPr>
                <w:rFonts w:ascii="Times New Roman" w:hAnsi="Times New Roman"/>
              </w:rPr>
            </w:pPr>
            <w:r>
              <w:rPr>
                <w:rFonts w:ascii="Times New Roman" w:hAnsi="Times New Roman"/>
              </w:rPr>
              <w:t>Não</w:t>
            </w:r>
          </w:p>
        </w:tc>
        <w:tc>
          <w:tcPr>
            <w:tcW w:w="518" w:type="dxa"/>
            <w:tcBorders>
              <w:top w:val="nil"/>
              <w:bottom w:val="single" w:sz="6" w:space="0" w:color="auto"/>
            </w:tcBorders>
          </w:tcPr>
          <w:p w:rsidR="00671790" w:rsidRDefault="00EA5370" w:rsidP="00EA5370">
            <w:pPr>
              <w:spacing w:after="0" w:line="240" w:lineRule="auto"/>
              <w:jc w:val="center"/>
              <w:rPr>
                <w:rFonts w:ascii="Times New Roman" w:hAnsi="Times New Roman"/>
              </w:rPr>
            </w:pPr>
            <w:proofErr w:type="gramStart"/>
            <w:r>
              <w:rPr>
                <w:rFonts w:ascii="Times New Roman" w:hAnsi="Times New Roman"/>
              </w:rPr>
              <w:t>1</w:t>
            </w:r>
            <w:proofErr w:type="gramEnd"/>
          </w:p>
        </w:tc>
        <w:tc>
          <w:tcPr>
            <w:tcW w:w="2600" w:type="dxa"/>
            <w:tcBorders>
              <w:top w:val="nil"/>
              <w:bottom w:val="single" w:sz="6" w:space="0" w:color="auto"/>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2,6</w:t>
            </w:r>
          </w:p>
        </w:tc>
      </w:tr>
      <w:tr w:rsidR="00671790" w:rsidRPr="00E72E07" w:rsidTr="00EA5370">
        <w:trPr>
          <w:trHeight w:val="253"/>
        </w:trPr>
        <w:tc>
          <w:tcPr>
            <w:tcW w:w="2202" w:type="dxa"/>
            <w:vMerge w:val="restart"/>
          </w:tcPr>
          <w:p w:rsidR="00671790" w:rsidRPr="00EA5370" w:rsidRDefault="00671790" w:rsidP="00EA5370">
            <w:pPr>
              <w:spacing w:after="0" w:line="240" w:lineRule="auto"/>
              <w:jc w:val="center"/>
              <w:rPr>
                <w:rFonts w:ascii="Times New Roman" w:hAnsi="Times New Roman"/>
                <w:lang w:val="en-US"/>
              </w:rPr>
            </w:pPr>
          </w:p>
          <w:p w:rsidR="00671790" w:rsidRPr="00EA5370" w:rsidRDefault="00671790" w:rsidP="00EA5370">
            <w:pPr>
              <w:spacing w:after="0" w:line="240" w:lineRule="auto"/>
              <w:jc w:val="center"/>
              <w:rPr>
                <w:rFonts w:ascii="Times New Roman" w:hAnsi="Times New Roman"/>
                <w:lang w:val="en-US"/>
              </w:rPr>
            </w:pPr>
          </w:p>
          <w:p w:rsidR="00671790" w:rsidRPr="00EA5370" w:rsidRDefault="00671790" w:rsidP="00EA5370">
            <w:pPr>
              <w:spacing w:after="0" w:line="240" w:lineRule="auto"/>
              <w:jc w:val="center"/>
              <w:rPr>
                <w:rFonts w:ascii="Times New Roman" w:hAnsi="Times New Roman"/>
                <w:lang w:val="en-US"/>
              </w:rPr>
            </w:pPr>
          </w:p>
          <w:p w:rsidR="00671790" w:rsidRPr="00EA5370" w:rsidRDefault="00B001A0" w:rsidP="00EA5370">
            <w:pPr>
              <w:spacing w:after="0" w:line="240" w:lineRule="auto"/>
              <w:jc w:val="center"/>
              <w:rPr>
                <w:rFonts w:ascii="Times New Roman" w:hAnsi="Times New Roman"/>
                <w:lang w:val="en-US"/>
              </w:rPr>
            </w:pPr>
            <w:r w:rsidRPr="00EA5370">
              <w:rPr>
                <w:rFonts w:ascii="Times New Roman" w:hAnsi="Times New Roman"/>
                <w:lang w:val="en-US"/>
              </w:rPr>
              <w:t>FR</w:t>
            </w:r>
          </w:p>
        </w:tc>
        <w:tc>
          <w:tcPr>
            <w:tcW w:w="2121" w:type="dxa"/>
            <w:gridSpan w:val="2"/>
            <w:tcBorders>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HAS</w:t>
            </w:r>
          </w:p>
        </w:tc>
        <w:tc>
          <w:tcPr>
            <w:tcW w:w="518" w:type="dxa"/>
            <w:tcBorders>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29</w:t>
            </w:r>
          </w:p>
        </w:tc>
        <w:tc>
          <w:tcPr>
            <w:tcW w:w="2600" w:type="dxa"/>
            <w:tcBorders>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74,35</w:t>
            </w:r>
          </w:p>
        </w:tc>
      </w:tr>
      <w:tr w:rsidR="00671790" w:rsidRPr="00E72E07" w:rsidTr="00EA5370">
        <w:trPr>
          <w:trHeight w:val="256"/>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Sedentarismo</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23</w:t>
            </w:r>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58,97</w:t>
            </w:r>
          </w:p>
        </w:tc>
      </w:tr>
      <w:tr w:rsidR="00671790" w:rsidRPr="00E72E07" w:rsidTr="00EA5370">
        <w:trPr>
          <w:trHeight w:val="274"/>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DM</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18</w:t>
            </w:r>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46,15</w:t>
            </w:r>
          </w:p>
        </w:tc>
      </w:tr>
      <w:tr w:rsidR="00671790" w:rsidRPr="00E72E07" w:rsidTr="00EA5370">
        <w:trPr>
          <w:trHeight w:val="242"/>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Doenças Cardíacas</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17</w:t>
            </w:r>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43,58</w:t>
            </w:r>
          </w:p>
        </w:tc>
      </w:tr>
      <w:tr w:rsidR="00671790" w:rsidRPr="00E72E07" w:rsidTr="00EA5370">
        <w:trPr>
          <w:trHeight w:val="252"/>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Tabagismo</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r>
              <w:rPr>
                <w:rFonts w:ascii="Times New Roman" w:hAnsi="Times New Roman"/>
              </w:rPr>
              <w:t>12</w:t>
            </w:r>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30,76</w:t>
            </w:r>
          </w:p>
        </w:tc>
      </w:tr>
      <w:tr w:rsidR="00671790" w:rsidRPr="00E72E07" w:rsidTr="00EA5370">
        <w:trPr>
          <w:trHeight w:val="202"/>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Colesterol Elevado</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proofErr w:type="gramStart"/>
            <w:r>
              <w:rPr>
                <w:rFonts w:ascii="Times New Roman" w:hAnsi="Times New Roman"/>
              </w:rPr>
              <w:t>7</w:t>
            </w:r>
            <w:proofErr w:type="gramEnd"/>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17,94</w:t>
            </w:r>
          </w:p>
        </w:tc>
      </w:tr>
      <w:tr w:rsidR="00671790" w:rsidRPr="00E72E07" w:rsidTr="00EA5370">
        <w:trPr>
          <w:trHeight w:val="265"/>
        </w:trPr>
        <w:tc>
          <w:tcPr>
            <w:tcW w:w="2202" w:type="dxa"/>
            <w:vMerge/>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nil"/>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Etilismo</w:t>
            </w:r>
          </w:p>
        </w:tc>
        <w:tc>
          <w:tcPr>
            <w:tcW w:w="518" w:type="dxa"/>
            <w:tcBorders>
              <w:top w:val="nil"/>
              <w:bottom w:val="nil"/>
            </w:tcBorders>
          </w:tcPr>
          <w:p w:rsidR="00671790" w:rsidRPr="00E72E07" w:rsidRDefault="00EA5370" w:rsidP="00EA5370">
            <w:pPr>
              <w:spacing w:after="0" w:line="240" w:lineRule="auto"/>
              <w:jc w:val="center"/>
              <w:rPr>
                <w:rFonts w:ascii="Times New Roman" w:hAnsi="Times New Roman"/>
              </w:rPr>
            </w:pPr>
            <w:proofErr w:type="gramStart"/>
            <w:r>
              <w:rPr>
                <w:rFonts w:ascii="Times New Roman" w:hAnsi="Times New Roman"/>
              </w:rPr>
              <w:t>6</w:t>
            </w:r>
            <w:proofErr w:type="gramEnd"/>
          </w:p>
        </w:tc>
        <w:tc>
          <w:tcPr>
            <w:tcW w:w="2600" w:type="dxa"/>
            <w:tcBorders>
              <w:top w:val="nil"/>
              <w:bottom w:val="nil"/>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15,38</w:t>
            </w:r>
          </w:p>
        </w:tc>
      </w:tr>
      <w:tr w:rsidR="00671790" w:rsidRPr="00E72E07" w:rsidTr="00EA5370">
        <w:trPr>
          <w:trHeight w:val="288"/>
        </w:trPr>
        <w:tc>
          <w:tcPr>
            <w:tcW w:w="2202" w:type="dxa"/>
            <w:vMerge/>
            <w:tcBorders>
              <w:bottom w:val="single" w:sz="24" w:space="0" w:color="auto"/>
            </w:tcBorders>
          </w:tcPr>
          <w:p w:rsidR="00671790" w:rsidRDefault="00671790" w:rsidP="00EA5370">
            <w:pPr>
              <w:spacing w:after="0" w:line="240" w:lineRule="auto"/>
              <w:jc w:val="center"/>
              <w:rPr>
                <w:rFonts w:ascii="Times New Roman" w:hAnsi="Times New Roman"/>
                <w:b/>
                <w:lang w:val="en-US"/>
              </w:rPr>
            </w:pPr>
          </w:p>
        </w:tc>
        <w:tc>
          <w:tcPr>
            <w:tcW w:w="2121" w:type="dxa"/>
            <w:gridSpan w:val="2"/>
            <w:tcBorders>
              <w:top w:val="nil"/>
              <w:bottom w:val="single" w:sz="24" w:space="0" w:color="auto"/>
            </w:tcBorders>
          </w:tcPr>
          <w:p w:rsidR="00671790" w:rsidRPr="00E72E07" w:rsidRDefault="00671790" w:rsidP="00EA5370">
            <w:pPr>
              <w:spacing w:after="0" w:line="240" w:lineRule="auto"/>
              <w:jc w:val="center"/>
              <w:rPr>
                <w:rFonts w:ascii="Times New Roman" w:hAnsi="Times New Roman"/>
              </w:rPr>
            </w:pPr>
            <w:r>
              <w:rPr>
                <w:rFonts w:ascii="Times New Roman" w:hAnsi="Times New Roman"/>
              </w:rPr>
              <w:t>Obesidade</w:t>
            </w:r>
          </w:p>
        </w:tc>
        <w:tc>
          <w:tcPr>
            <w:tcW w:w="518" w:type="dxa"/>
            <w:tcBorders>
              <w:top w:val="nil"/>
              <w:bottom w:val="single" w:sz="24" w:space="0" w:color="auto"/>
            </w:tcBorders>
          </w:tcPr>
          <w:p w:rsidR="00671790" w:rsidRPr="00E72E07" w:rsidRDefault="00EA5370" w:rsidP="00EA5370">
            <w:pPr>
              <w:spacing w:after="0" w:line="240" w:lineRule="auto"/>
              <w:jc w:val="center"/>
              <w:rPr>
                <w:rFonts w:ascii="Times New Roman" w:hAnsi="Times New Roman"/>
              </w:rPr>
            </w:pPr>
            <w:proofErr w:type="gramStart"/>
            <w:r>
              <w:rPr>
                <w:rFonts w:ascii="Times New Roman" w:hAnsi="Times New Roman"/>
              </w:rPr>
              <w:t>3</w:t>
            </w:r>
            <w:proofErr w:type="gramEnd"/>
          </w:p>
        </w:tc>
        <w:tc>
          <w:tcPr>
            <w:tcW w:w="2600" w:type="dxa"/>
            <w:tcBorders>
              <w:top w:val="nil"/>
              <w:bottom w:val="single" w:sz="24" w:space="0" w:color="auto"/>
            </w:tcBorders>
          </w:tcPr>
          <w:p w:rsidR="00671790" w:rsidRPr="00E72E07" w:rsidRDefault="00671790" w:rsidP="00EA5370">
            <w:pPr>
              <w:spacing w:after="0" w:line="240" w:lineRule="auto"/>
              <w:jc w:val="center"/>
              <w:rPr>
                <w:rFonts w:ascii="Times New Roman" w:hAnsi="Times New Roman"/>
              </w:rPr>
            </w:pPr>
            <w:r w:rsidRPr="00E72E07">
              <w:rPr>
                <w:rFonts w:ascii="Times New Roman" w:hAnsi="Times New Roman"/>
              </w:rPr>
              <w:t>7,69</w:t>
            </w:r>
          </w:p>
        </w:tc>
      </w:tr>
    </w:tbl>
    <w:p w:rsidR="00E72E07" w:rsidRDefault="00E72E07" w:rsidP="00D623B4">
      <w:pPr>
        <w:autoSpaceDE w:val="0"/>
        <w:autoSpaceDN w:val="0"/>
        <w:adjustRightInd w:val="0"/>
        <w:spacing w:after="0" w:line="360" w:lineRule="auto"/>
        <w:ind w:firstLine="708"/>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E72E07" w:rsidRDefault="00E72E07" w:rsidP="00E72E07">
      <w:pPr>
        <w:autoSpaceDE w:val="0"/>
        <w:autoSpaceDN w:val="0"/>
        <w:adjustRightInd w:val="0"/>
        <w:spacing w:after="0" w:line="360" w:lineRule="auto"/>
        <w:jc w:val="both"/>
        <w:rPr>
          <w:rFonts w:ascii="Times New Roman" w:hAnsi="Times New Roman"/>
        </w:rPr>
      </w:pPr>
    </w:p>
    <w:p w:rsidR="00D623B4" w:rsidRPr="00E72E07" w:rsidRDefault="00D623B4" w:rsidP="00D623B4">
      <w:pPr>
        <w:pStyle w:val="SemEspaamento"/>
        <w:spacing w:line="360" w:lineRule="auto"/>
        <w:jc w:val="both"/>
        <w:rPr>
          <w:rFonts w:ascii="Times New Roman" w:hAnsi="Times New Roman"/>
          <w:color w:val="000000"/>
        </w:rPr>
      </w:pPr>
    </w:p>
    <w:p w:rsidR="00D623B4" w:rsidRPr="00E72E07" w:rsidRDefault="00D623B4" w:rsidP="00D623B4">
      <w:pPr>
        <w:pStyle w:val="SemEspaamento"/>
        <w:spacing w:line="360" w:lineRule="auto"/>
        <w:jc w:val="both"/>
        <w:rPr>
          <w:rFonts w:ascii="Times New Roman" w:hAnsi="Times New Roman"/>
          <w:color w:val="000000"/>
        </w:rPr>
      </w:pPr>
    </w:p>
    <w:p w:rsidR="00D623B4" w:rsidRPr="00E72E07" w:rsidRDefault="00D623B4" w:rsidP="00D623B4">
      <w:pPr>
        <w:pStyle w:val="SemEspaamento"/>
        <w:spacing w:line="360" w:lineRule="auto"/>
        <w:jc w:val="both"/>
        <w:rPr>
          <w:rFonts w:ascii="Times New Roman" w:hAnsi="Times New Roman"/>
          <w:color w:val="000000"/>
        </w:rPr>
      </w:pPr>
    </w:p>
    <w:p w:rsidR="00E72E07" w:rsidRDefault="00E72E07" w:rsidP="00D623B4">
      <w:pPr>
        <w:pStyle w:val="SemEspaamento"/>
        <w:spacing w:line="360" w:lineRule="auto"/>
        <w:jc w:val="both"/>
        <w:rPr>
          <w:rFonts w:ascii="Times New Roman" w:hAnsi="Times New Roman"/>
        </w:rPr>
      </w:pPr>
    </w:p>
    <w:p w:rsidR="00E72E07" w:rsidRDefault="00E72E07" w:rsidP="00D623B4">
      <w:pPr>
        <w:pStyle w:val="SemEspaamento"/>
        <w:spacing w:line="360" w:lineRule="auto"/>
        <w:jc w:val="both"/>
        <w:rPr>
          <w:rFonts w:ascii="Times New Roman" w:hAnsi="Times New Roman"/>
        </w:rPr>
      </w:pPr>
    </w:p>
    <w:p w:rsidR="00E72E07" w:rsidRDefault="00E72E07" w:rsidP="00D623B4">
      <w:pPr>
        <w:pStyle w:val="SemEspaamento"/>
        <w:spacing w:line="360" w:lineRule="auto"/>
        <w:jc w:val="both"/>
        <w:rPr>
          <w:rFonts w:ascii="Times New Roman" w:hAnsi="Times New Roman"/>
        </w:rPr>
      </w:pPr>
    </w:p>
    <w:p w:rsidR="00E72E07" w:rsidRDefault="00E72E07" w:rsidP="00D623B4">
      <w:pPr>
        <w:pStyle w:val="SemEspaamento"/>
        <w:spacing w:line="360" w:lineRule="auto"/>
        <w:jc w:val="both"/>
        <w:rPr>
          <w:rFonts w:ascii="Times New Roman" w:hAnsi="Times New Roman"/>
        </w:rPr>
      </w:pPr>
    </w:p>
    <w:p w:rsidR="00E72E07" w:rsidRDefault="00E72E07" w:rsidP="00D623B4">
      <w:pPr>
        <w:pStyle w:val="SemEspaamento"/>
        <w:spacing w:line="360" w:lineRule="auto"/>
        <w:jc w:val="both"/>
        <w:rPr>
          <w:rFonts w:ascii="Times New Roman" w:hAnsi="Times New Roman"/>
        </w:rPr>
      </w:pPr>
    </w:p>
    <w:p w:rsidR="00E72E07" w:rsidRDefault="00E72E07" w:rsidP="00D623B4">
      <w:pPr>
        <w:pStyle w:val="SemEspaamento"/>
        <w:spacing w:line="360" w:lineRule="auto"/>
        <w:jc w:val="both"/>
        <w:rPr>
          <w:rFonts w:ascii="Times New Roman" w:hAnsi="Times New Roman"/>
        </w:rPr>
      </w:pPr>
    </w:p>
    <w:p w:rsidR="00E72E07" w:rsidRDefault="00E72E07" w:rsidP="00E72E07">
      <w:pPr>
        <w:pStyle w:val="SemEspaamento"/>
        <w:spacing w:line="360" w:lineRule="auto"/>
        <w:ind w:firstLine="708"/>
        <w:jc w:val="both"/>
        <w:rPr>
          <w:rFonts w:ascii="Times New Roman" w:hAnsi="Times New Roman"/>
        </w:rPr>
      </w:pPr>
    </w:p>
    <w:p w:rsidR="00671790" w:rsidRPr="005A1425" w:rsidRDefault="00B001A0" w:rsidP="00B001A0">
      <w:pPr>
        <w:pStyle w:val="SemEspaamento"/>
        <w:spacing w:line="360" w:lineRule="auto"/>
        <w:rPr>
          <w:rFonts w:ascii="Times New Roman" w:hAnsi="Times New Roman"/>
          <w:sz w:val="20"/>
        </w:rPr>
      </w:pPr>
      <w:r w:rsidRPr="005A1425">
        <w:rPr>
          <w:rFonts w:ascii="Times New Roman" w:hAnsi="Times New Roman"/>
          <w:sz w:val="20"/>
        </w:rPr>
        <w:t>Legenda</w:t>
      </w:r>
      <w:r w:rsidR="00671790" w:rsidRPr="005A1425">
        <w:rPr>
          <w:rFonts w:ascii="Times New Roman" w:hAnsi="Times New Roman"/>
          <w:sz w:val="20"/>
        </w:rPr>
        <w:t>:</w:t>
      </w:r>
      <w:r w:rsidRPr="005A1425">
        <w:rPr>
          <w:rFonts w:ascii="Times New Roman" w:hAnsi="Times New Roman"/>
          <w:sz w:val="20"/>
        </w:rPr>
        <w:t xml:space="preserve"> FR, Fatores de risco;</w:t>
      </w:r>
      <w:r w:rsidR="00671790" w:rsidRPr="005A1425">
        <w:rPr>
          <w:rFonts w:ascii="Times New Roman" w:hAnsi="Times New Roman"/>
          <w:sz w:val="20"/>
        </w:rPr>
        <w:t xml:space="preserve"> HAS, Hipertensão Arterial Sistêmica; DM, Diabetes Mellitus</w:t>
      </w:r>
      <w:r w:rsidR="005A1425">
        <w:rPr>
          <w:rFonts w:ascii="Times New Roman" w:hAnsi="Times New Roman"/>
          <w:sz w:val="20"/>
        </w:rPr>
        <w:t>.</w:t>
      </w:r>
    </w:p>
    <w:p w:rsidR="005A1425" w:rsidRDefault="005A1425" w:rsidP="00E72E07">
      <w:pPr>
        <w:pStyle w:val="SemEspaamento"/>
        <w:spacing w:line="360" w:lineRule="auto"/>
        <w:ind w:firstLine="708"/>
        <w:jc w:val="both"/>
        <w:rPr>
          <w:rFonts w:ascii="Times New Roman" w:hAnsi="Times New Roman"/>
        </w:rPr>
      </w:pPr>
    </w:p>
    <w:p w:rsidR="00D623B4" w:rsidRDefault="0028114D" w:rsidP="0028114D">
      <w:pPr>
        <w:pStyle w:val="SemEspaamento"/>
        <w:spacing w:line="360" w:lineRule="auto"/>
        <w:ind w:firstLine="708"/>
        <w:jc w:val="both"/>
        <w:rPr>
          <w:rFonts w:ascii="Times New Roman" w:hAnsi="Times New Roman"/>
        </w:rPr>
      </w:pPr>
      <w:r>
        <w:rPr>
          <w:rFonts w:ascii="Times New Roman" w:hAnsi="Times New Roman"/>
        </w:rPr>
        <w:t xml:space="preserve">Em relação </w:t>
      </w:r>
      <w:proofErr w:type="gramStart"/>
      <w:r>
        <w:rPr>
          <w:rFonts w:ascii="Times New Roman" w:hAnsi="Times New Roman"/>
        </w:rPr>
        <w:t>a</w:t>
      </w:r>
      <w:proofErr w:type="gramEnd"/>
      <w:r>
        <w:rPr>
          <w:rFonts w:ascii="Times New Roman" w:hAnsi="Times New Roman"/>
        </w:rPr>
        <w:t xml:space="preserve"> aplicação dos instrumentos de avaliação, observou-se que o teste </w:t>
      </w:r>
      <w:r w:rsidR="00D623B4" w:rsidRPr="00E72E07">
        <w:rPr>
          <w:rFonts w:ascii="Times New Roman" w:hAnsi="Times New Roman"/>
        </w:rPr>
        <w:t xml:space="preserve">do Mini Exame do Estado Mental (MEEN) obteve-se uma pontuação média de 17,1±7,4 pontos, onde 32 pacientes (82,05%) foram classificados com um grave comprometimento e déficits cognitivos. Na Medida de Independência Funcional (MIF) obteve-se uma média de 80,4±34,4 pontos, onde 19 pacientes (48,72%) apresentaram independência funcional. A Escala de Equilíbrio de Berg (EEB) obteve média de 24,5±18,5, onde 17 pacientes (43,59%) obtiveram equilíbrio pobre. Na Escala de Desempenho Físico de </w:t>
      </w:r>
      <w:proofErr w:type="spellStart"/>
      <w:r w:rsidR="00D623B4" w:rsidRPr="00E72E07">
        <w:rPr>
          <w:rFonts w:ascii="Times New Roman" w:hAnsi="Times New Roman"/>
        </w:rPr>
        <w:t>Fugl</w:t>
      </w:r>
      <w:proofErr w:type="spellEnd"/>
      <w:r w:rsidR="00D623B4" w:rsidRPr="00E72E07">
        <w:rPr>
          <w:rFonts w:ascii="Times New Roman" w:hAnsi="Times New Roman"/>
        </w:rPr>
        <w:t xml:space="preserve">-Meyer (FM), somente 32 pacientes completaram a avaliação com a pontuação média total de 48,3±32,3. Os outros </w:t>
      </w:r>
      <w:proofErr w:type="gramStart"/>
      <w:r w:rsidR="00D623B4" w:rsidRPr="00E72E07">
        <w:rPr>
          <w:rFonts w:ascii="Times New Roman" w:hAnsi="Times New Roman"/>
        </w:rPr>
        <w:t>6</w:t>
      </w:r>
      <w:proofErr w:type="gramEnd"/>
      <w:r w:rsidR="00D623B4" w:rsidRPr="00E72E07">
        <w:rPr>
          <w:rFonts w:ascii="Times New Roman" w:hAnsi="Times New Roman"/>
        </w:rPr>
        <w:t xml:space="preserve"> pacientes não completaram a avaliação pois o lado afetado não foi identificado ou a hemiplegia era bilateral. Dos avaliados, 15 (46,88%) apresentaram um grave grau de comprometimento motor. Na aplicação do teste Time </w:t>
      </w:r>
      <w:proofErr w:type="spellStart"/>
      <w:r w:rsidR="00D623B4" w:rsidRPr="00E72E07">
        <w:rPr>
          <w:rFonts w:ascii="Times New Roman" w:hAnsi="Times New Roman"/>
        </w:rPr>
        <w:t>Up</w:t>
      </w:r>
      <w:proofErr w:type="spellEnd"/>
      <w:r w:rsidR="00D623B4" w:rsidRPr="00E72E07">
        <w:rPr>
          <w:rFonts w:ascii="Times New Roman" w:hAnsi="Times New Roman"/>
        </w:rPr>
        <w:t xml:space="preserve"> </w:t>
      </w:r>
      <w:proofErr w:type="spellStart"/>
      <w:r w:rsidR="00D623B4" w:rsidRPr="00E72E07">
        <w:rPr>
          <w:rFonts w:ascii="Times New Roman" w:hAnsi="Times New Roman"/>
        </w:rPr>
        <w:t>And</w:t>
      </w:r>
      <w:proofErr w:type="spellEnd"/>
      <w:r w:rsidR="00D623B4" w:rsidRPr="00E72E07">
        <w:rPr>
          <w:rFonts w:ascii="Times New Roman" w:hAnsi="Times New Roman"/>
        </w:rPr>
        <w:t xml:space="preserve"> </w:t>
      </w:r>
      <w:proofErr w:type="gramStart"/>
      <w:r w:rsidR="00D623B4" w:rsidRPr="00E72E07">
        <w:rPr>
          <w:rFonts w:ascii="Times New Roman" w:hAnsi="Times New Roman"/>
        </w:rPr>
        <w:t>Go</w:t>
      </w:r>
      <w:proofErr w:type="gramEnd"/>
      <w:r w:rsidR="00D623B4" w:rsidRPr="00E72E07">
        <w:rPr>
          <w:rFonts w:ascii="Times New Roman" w:hAnsi="Times New Roman"/>
        </w:rPr>
        <w:t xml:space="preserve"> (TUG) 14 pacientes não conseguiram realizar o teste. Dentre os 25 pacientes avaliados, obteve-se a média, em segundos, de 29,7±27,5 </w:t>
      </w:r>
      <w:r w:rsidR="00D623B4" w:rsidRPr="00394F64">
        <w:rPr>
          <w:rFonts w:ascii="Times New Roman" w:hAnsi="Times New Roman"/>
        </w:rPr>
        <w:t>onde 1</w:t>
      </w:r>
      <w:r w:rsidR="00394F64" w:rsidRPr="00394F64">
        <w:rPr>
          <w:rFonts w:ascii="Times New Roman" w:hAnsi="Times New Roman"/>
        </w:rPr>
        <w:t>3</w:t>
      </w:r>
      <w:r w:rsidR="00D623B4" w:rsidRPr="00394F64">
        <w:rPr>
          <w:rFonts w:ascii="Times New Roman" w:hAnsi="Times New Roman"/>
        </w:rPr>
        <w:t xml:space="preserve"> indivíduos (</w:t>
      </w:r>
      <w:r w:rsidR="00394F64" w:rsidRPr="00394F64">
        <w:rPr>
          <w:rFonts w:ascii="Times New Roman" w:hAnsi="Times New Roman"/>
        </w:rPr>
        <w:t>52</w:t>
      </w:r>
      <w:r w:rsidR="00D623B4" w:rsidRPr="00394F64">
        <w:rPr>
          <w:rFonts w:ascii="Times New Roman" w:hAnsi="Times New Roman"/>
        </w:rPr>
        <w:t>%) foram classificados com baixo risco de quedas.</w:t>
      </w:r>
      <w:r w:rsidR="00D623B4" w:rsidRPr="00E72E07">
        <w:rPr>
          <w:rFonts w:ascii="Times New Roman" w:hAnsi="Times New Roman"/>
        </w:rPr>
        <w:t xml:space="preserve"> Na aplicação da Escala de Deambulação Funcional (FAC), </w:t>
      </w:r>
      <w:proofErr w:type="gramStart"/>
      <w:r w:rsidR="00D623B4" w:rsidRPr="00E72E07">
        <w:rPr>
          <w:rFonts w:ascii="Times New Roman" w:hAnsi="Times New Roman"/>
        </w:rPr>
        <w:t>cerca de 30,77</w:t>
      </w:r>
      <w:proofErr w:type="gramEnd"/>
      <w:r w:rsidR="00D623B4" w:rsidRPr="00E72E07">
        <w:rPr>
          <w:rFonts w:ascii="Times New Roman" w:hAnsi="Times New Roman"/>
        </w:rPr>
        <w:t>% dos avaliados apresentaram marcha independente (Tabela 3).</w:t>
      </w:r>
    </w:p>
    <w:p w:rsidR="00D623B4" w:rsidRPr="00E72E07" w:rsidRDefault="00D623B4" w:rsidP="00D623B4">
      <w:pPr>
        <w:pStyle w:val="SemEspaamento"/>
        <w:spacing w:line="360" w:lineRule="auto"/>
        <w:jc w:val="both"/>
        <w:rPr>
          <w:rFonts w:ascii="Times New Roman" w:hAnsi="Times New Roman"/>
          <w:highlight w:val="yellow"/>
        </w:rPr>
      </w:pPr>
    </w:p>
    <w:p w:rsidR="00D623B4" w:rsidRPr="00E72E07" w:rsidRDefault="00E72E07" w:rsidP="00E72E07">
      <w:pPr>
        <w:rPr>
          <w:rFonts w:ascii="Times New Roman" w:hAnsi="Times New Roman"/>
          <w:sz w:val="20"/>
        </w:rPr>
      </w:pPr>
      <w:r>
        <w:rPr>
          <w:rFonts w:ascii="Times New Roman" w:hAnsi="Times New Roman"/>
          <w:color w:val="000000"/>
        </w:rPr>
        <w:lastRenderedPageBreak/>
        <w:t xml:space="preserve">Tabela 3. </w:t>
      </w:r>
      <w:r>
        <w:rPr>
          <w:rFonts w:ascii="Times New Roman" w:hAnsi="Times New Roman"/>
          <w:sz w:val="20"/>
        </w:rPr>
        <w:t>Tabela 3</w:t>
      </w:r>
      <w:r w:rsidRPr="00F52F1E">
        <w:rPr>
          <w:rFonts w:ascii="Times New Roman" w:hAnsi="Times New Roman"/>
          <w:sz w:val="20"/>
        </w:rPr>
        <w:t xml:space="preserve">. </w:t>
      </w:r>
      <w:r>
        <w:rPr>
          <w:rFonts w:ascii="Times New Roman" w:hAnsi="Times New Roman"/>
          <w:sz w:val="20"/>
        </w:rPr>
        <w:t>Representação de acordo com a caracterização funcional dos indivíduos com AVE, Santa Cruz, Rio Grande do Norte, Brasil.</w:t>
      </w:r>
    </w:p>
    <w:tbl>
      <w:tblPr>
        <w:tblW w:w="0" w:type="auto"/>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3402"/>
        <w:gridCol w:w="546"/>
        <w:gridCol w:w="1443"/>
        <w:gridCol w:w="15"/>
        <w:gridCol w:w="9"/>
        <w:gridCol w:w="1426"/>
      </w:tblGrid>
      <w:tr w:rsidR="005A1425" w:rsidRPr="00E72E07" w:rsidTr="00394F64">
        <w:trPr>
          <w:trHeight w:val="115"/>
        </w:trPr>
        <w:tc>
          <w:tcPr>
            <w:tcW w:w="2376" w:type="dxa"/>
            <w:tcBorders>
              <w:top w:val="single" w:sz="24" w:space="0" w:color="auto"/>
              <w:bottom w:val="single" w:sz="6" w:space="0" w:color="auto"/>
              <w:right w:val="nil"/>
            </w:tcBorders>
          </w:tcPr>
          <w:p w:rsidR="005A1425" w:rsidRPr="00E72E07" w:rsidRDefault="00CD4904" w:rsidP="00E72E07">
            <w:pPr>
              <w:pStyle w:val="SemEspaamento"/>
              <w:jc w:val="center"/>
              <w:rPr>
                <w:rFonts w:ascii="Times New Roman" w:hAnsi="Times New Roman"/>
                <w:b/>
                <w:color w:val="000000"/>
              </w:rPr>
            </w:pPr>
            <w:r w:rsidRPr="00E72E07">
              <w:rPr>
                <w:rFonts w:ascii="Times New Roman" w:hAnsi="Times New Roman"/>
                <w:b/>
                <w:color w:val="000000"/>
              </w:rPr>
              <w:t>ESCALA</w:t>
            </w:r>
          </w:p>
        </w:tc>
        <w:tc>
          <w:tcPr>
            <w:tcW w:w="3402" w:type="dxa"/>
            <w:tcBorders>
              <w:top w:val="single" w:sz="24" w:space="0" w:color="auto"/>
              <w:left w:val="nil"/>
              <w:bottom w:val="single" w:sz="6" w:space="0" w:color="auto"/>
              <w:right w:val="nil"/>
            </w:tcBorders>
          </w:tcPr>
          <w:p w:rsidR="005A1425" w:rsidRPr="00E72E07" w:rsidRDefault="00CD4904" w:rsidP="00E72E07">
            <w:pPr>
              <w:pStyle w:val="SemEspaamento"/>
              <w:jc w:val="center"/>
              <w:rPr>
                <w:rFonts w:ascii="Times New Roman" w:hAnsi="Times New Roman"/>
                <w:b/>
                <w:color w:val="000000"/>
              </w:rPr>
            </w:pPr>
            <w:r w:rsidRPr="00E72E07">
              <w:rPr>
                <w:rFonts w:ascii="Times New Roman" w:hAnsi="Times New Roman"/>
                <w:b/>
                <w:color w:val="000000"/>
              </w:rPr>
              <w:t>CLASSIFICAÇÃO</w:t>
            </w:r>
          </w:p>
        </w:tc>
        <w:tc>
          <w:tcPr>
            <w:tcW w:w="546" w:type="dxa"/>
            <w:tcBorders>
              <w:top w:val="single" w:sz="24" w:space="0" w:color="auto"/>
              <w:left w:val="nil"/>
              <w:bottom w:val="single" w:sz="6" w:space="0" w:color="auto"/>
              <w:right w:val="nil"/>
            </w:tcBorders>
          </w:tcPr>
          <w:p w:rsidR="005A1425" w:rsidRPr="00E72E07" w:rsidRDefault="005A1425" w:rsidP="00E72E07">
            <w:pPr>
              <w:pStyle w:val="SemEspaamento"/>
              <w:jc w:val="center"/>
              <w:rPr>
                <w:rFonts w:ascii="Times New Roman" w:hAnsi="Times New Roman"/>
                <w:b/>
                <w:color w:val="000000"/>
              </w:rPr>
            </w:pPr>
            <w:r>
              <w:rPr>
                <w:rFonts w:ascii="Times New Roman" w:hAnsi="Times New Roman"/>
                <w:b/>
                <w:color w:val="000000"/>
              </w:rPr>
              <w:t>n</w:t>
            </w:r>
          </w:p>
        </w:tc>
        <w:tc>
          <w:tcPr>
            <w:tcW w:w="1443" w:type="dxa"/>
            <w:tcBorders>
              <w:top w:val="single" w:sz="24" w:space="0" w:color="auto"/>
              <w:left w:val="nil"/>
              <w:bottom w:val="single" w:sz="6" w:space="0" w:color="auto"/>
              <w:right w:val="nil"/>
            </w:tcBorders>
          </w:tcPr>
          <w:p w:rsidR="005A1425" w:rsidRPr="00E72E07" w:rsidRDefault="005A1425" w:rsidP="00E72E07">
            <w:pPr>
              <w:pStyle w:val="SemEspaamento"/>
              <w:jc w:val="center"/>
              <w:rPr>
                <w:rFonts w:ascii="Times New Roman" w:hAnsi="Times New Roman"/>
                <w:b/>
                <w:color w:val="000000"/>
              </w:rPr>
            </w:pPr>
            <w:r>
              <w:rPr>
                <w:rFonts w:ascii="Times New Roman" w:hAnsi="Times New Roman"/>
                <w:b/>
                <w:color w:val="000000"/>
              </w:rPr>
              <w:t>%</w:t>
            </w:r>
          </w:p>
        </w:tc>
        <w:tc>
          <w:tcPr>
            <w:tcW w:w="1450" w:type="dxa"/>
            <w:gridSpan w:val="3"/>
            <w:tcBorders>
              <w:top w:val="single" w:sz="24" w:space="0" w:color="auto"/>
              <w:left w:val="nil"/>
              <w:bottom w:val="single" w:sz="6" w:space="0" w:color="auto"/>
            </w:tcBorders>
          </w:tcPr>
          <w:p w:rsidR="005A1425" w:rsidRPr="00E72E07" w:rsidRDefault="005A1425" w:rsidP="005A1425">
            <w:pPr>
              <w:pStyle w:val="SemEspaamento"/>
              <w:jc w:val="center"/>
              <w:rPr>
                <w:rFonts w:ascii="Times New Roman" w:hAnsi="Times New Roman"/>
                <w:b/>
                <w:color w:val="000000"/>
              </w:rPr>
            </w:pPr>
            <w:r>
              <w:rPr>
                <w:rFonts w:ascii="Times New Roman" w:hAnsi="Times New Roman"/>
                <w:b/>
                <w:color w:val="000000"/>
              </w:rPr>
              <w:t>Média Total</w:t>
            </w:r>
          </w:p>
        </w:tc>
      </w:tr>
      <w:tr w:rsidR="005A1425" w:rsidRPr="00E72E07" w:rsidTr="00394F64">
        <w:trPr>
          <w:trHeight w:val="173"/>
        </w:trPr>
        <w:tc>
          <w:tcPr>
            <w:tcW w:w="2376" w:type="dxa"/>
            <w:vMerge w:val="restart"/>
            <w:tcBorders>
              <w:bottom w:val="nil"/>
              <w:right w:val="nil"/>
            </w:tcBorders>
          </w:tcPr>
          <w:p w:rsidR="005A1425" w:rsidRPr="00CD4904" w:rsidRDefault="005A1425" w:rsidP="00E72E07">
            <w:pPr>
              <w:pStyle w:val="SemEspaamento"/>
              <w:jc w:val="center"/>
              <w:rPr>
                <w:rFonts w:ascii="Times New Roman" w:hAnsi="Times New Roman"/>
                <w:color w:val="000000"/>
              </w:rPr>
            </w:pPr>
          </w:p>
          <w:p w:rsidR="005A1425" w:rsidRPr="00CD4904" w:rsidRDefault="005A1425" w:rsidP="00E72E07">
            <w:pPr>
              <w:pStyle w:val="SemEspaamento"/>
              <w:jc w:val="center"/>
              <w:rPr>
                <w:rFonts w:ascii="Times New Roman" w:hAnsi="Times New Roman"/>
                <w:color w:val="000000"/>
              </w:rPr>
            </w:pPr>
            <w:r w:rsidRPr="00CD4904">
              <w:rPr>
                <w:rFonts w:ascii="Times New Roman" w:hAnsi="Times New Roman"/>
                <w:color w:val="000000"/>
              </w:rPr>
              <w:t>MEEM (n =39)</w:t>
            </w:r>
          </w:p>
        </w:tc>
        <w:tc>
          <w:tcPr>
            <w:tcW w:w="3402" w:type="dxa"/>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Déficit cognitivo</w:t>
            </w:r>
          </w:p>
        </w:tc>
        <w:tc>
          <w:tcPr>
            <w:tcW w:w="546" w:type="dxa"/>
            <w:tcBorders>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32</w:t>
            </w:r>
          </w:p>
        </w:tc>
        <w:tc>
          <w:tcPr>
            <w:tcW w:w="1443" w:type="dxa"/>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82,05</w:t>
            </w:r>
          </w:p>
        </w:tc>
        <w:tc>
          <w:tcPr>
            <w:tcW w:w="1450" w:type="dxa"/>
            <w:gridSpan w:val="3"/>
            <w:tcBorders>
              <w:left w:val="nil"/>
              <w:bottom w:val="nil"/>
            </w:tcBorders>
          </w:tcPr>
          <w:p w:rsidR="005A1425" w:rsidRPr="00E72E07" w:rsidRDefault="005A1425" w:rsidP="005A1425">
            <w:pPr>
              <w:pStyle w:val="SemEspaamento"/>
              <w:jc w:val="center"/>
              <w:rPr>
                <w:rFonts w:ascii="Times New Roman" w:hAnsi="Times New Roman"/>
                <w:color w:val="000000"/>
              </w:rPr>
            </w:pPr>
          </w:p>
        </w:tc>
      </w:tr>
      <w:tr w:rsidR="005A1425" w:rsidRPr="00E72E07" w:rsidTr="00394F64">
        <w:trPr>
          <w:trHeight w:val="207"/>
        </w:trPr>
        <w:tc>
          <w:tcPr>
            <w:tcW w:w="2376" w:type="dxa"/>
            <w:vMerge/>
            <w:tcBorders>
              <w:top w:val="nil"/>
              <w:bottom w:val="nil"/>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Sem déficit</w:t>
            </w:r>
          </w:p>
        </w:tc>
        <w:tc>
          <w:tcPr>
            <w:tcW w:w="546" w:type="dxa"/>
            <w:tcBorders>
              <w:top w:val="nil"/>
              <w:left w:val="nil"/>
              <w:bottom w:val="nil"/>
              <w:right w:val="nil"/>
            </w:tcBorders>
          </w:tcPr>
          <w:p w:rsidR="005A1425" w:rsidRPr="00E72E07" w:rsidRDefault="005A1425" w:rsidP="005A1425">
            <w:pPr>
              <w:pStyle w:val="SemEspaamento"/>
              <w:jc w:val="center"/>
              <w:rPr>
                <w:rFonts w:ascii="Times New Roman" w:hAnsi="Times New Roman"/>
                <w:color w:val="000000"/>
              </w:rPr>
            </w:pPr>
            <w:proofErr w:type="gramStart"/>
            <w:r>
              <w:rPr>
                <w:rFonts w:ascii="Times New Roman" w:hAnsi="Times New Roman"/>
                <w:color w:val="000000"/>
              </w:rPr>
              <w:t>5</w:t>
            </w:r>
            <w:proofErr w:type="gramEnd"/>
          </w:p>
        </w:tc>
        <w:tc>
          <w:tcPr>
            <w:tcW w:w="1443"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12,82</w:t>
            </w:r>
          </w:p>
        </w:tc>
        <w:tc>
          <w:tcPr>
            <w:tcW w:w="1450" w:type="dxa"/>
            <w:gridSpan w:val="3"/>
            <w:tcBorders>
              <w:top w:val="nil"/>
              <w:left w:val="nil"/>
              <w:bottom w:val="nil"/>
            </w:tcBorders>
          </w:tcPr>
          <w:p w:rsidR="005A1425" w:rsidRPr="00E72E07" w:rsidRDefault="005A1425" w:rsidP="005A1425">
            <w:pPr>
              <w:pStyle w:val="SemEspaamento"/>
              <w:jc w:val="center"/>
              <w:rPr>
                <w:rFonts w:ascii="Times New Roman" w:hAnsi="Times New Roman"/>
                <w:color w:val="000000"/>
              </w:rPr>
            </w:pPr>
            <w:r w:rsidRPr="00E72E07">
              <w:rPr>
                <w:rFonts w:ascii="Times New Roman" w:hAnsi="Times New Roman"/>
                <w:color w:val="000000"/>
              </w:rPr>
              <w:t>17,1(±7,4)</w:t>
            </w:r>
          </w:p>
        </w:tc>
      </w:tr>
      <w:tr w:rsidR="005A1425" w:rsidRPr="00E72E07" w:rsidTr="00394F64">
        <w:trPr>
          <w:trHeight w:val="196"/>
        </w:trPr>
        <w:tc>
          <w:tcPr>
            <w:tcW w:w="2376" w:type="dxa"/>
            <w:vMerge/>
            <w:tcBorders>
              <w:top w:val="nil"/>
              <w:bottom w:val="single" w:sz="6" w:space="0" w:color="auto"/>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Cognição preservada</w:t>
            </w:r>
          </w:p>
        </w:tc>
        <w:tc>
          <w:tcPr>
            <w:tcW w:w="546" w:type="dxa"/>
            <w:tcBorders>
              <w:top w:val="nil"/>
              <w:left w:val="nil"/>
              <w:bottom w:val="single" w:sz="6" w:space="0" w:color="auto"/>
              <w:right w:val="nil"/>
            </w:tcBorders>
          </w:tcPr>
          <w:p w:rsidR="005A1425" w:rsidRPr="00E72E07" w:rsidRDefault="005A1425" w:rsidP="005A1425">
            <w:pPr>
              <w:pStyle w:val="SemEspaamento"/>
              <w:jc w:val="center"/>
              <w:rPr>
                <w:rFonts w:ascii="Times New Roman" w:hAnsi="Times New Roman"/>
                <w:color w:val="000000"/>
              </w:rPr>
            </w:pPr>
            <w:proofErr w:type="gramStart"/>
            <w:r>
              <w:rPr>
                <w:rFonts w:ascii="Times New Roman" w:hAnsi="Times New Roman"/>
                <w:color w:val="000000"/>
              </w:rPr>
              <w:t>2</w:t>
            </w:r>
            <w:proofErr w:type="gramEnd"/>
          </w:p>
        </w:tc>
        <w:tc>
          <w:tcPr>
            <w:tcW w:w="1443" w:type="dxa"/>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5,13</w:t>
            </w:r>
          </w:p>
        </w:tc>
        <w:tc>
          <w:tcPr>
            <w:tcW w:w="1450" w:type="dxa"/>
            <w:gridSpan w:val="3"/>
            <w:tcBorders>
              <w:top w:val="nil"/>
              <w:left w:val="nil"/>
              <w:bottom w:val="single" w:sz="6" w:space="0" w:color="auto"/>
            </w:tcBorders>
          </w:tcPr>
          <w:p w:rsidR="005A1425" w:rsidRPr="00E72E07" w:rsidRDefault="005A1425" w:rsidP="005A1425">
            <w:pPr>
              <w:pStyle w:val="SemEspaamento"/>
              <w:jc w:val="center"/>
              <w:rPr>
                <w:rFonts w:ascii="Times New Roman" w:hAnsi="Times New Roman"/>
                <w:color w:val="000000"/>
              </w:rPr>
            </w:pPr>
          </w:p>
        </w:tc>
      </w:tr>
      <w:tr w:rsidR="005A1425" w:rsidRPr="00E72E07" w:rsidTr="00394F64">
        <w:trPr>
          <w:trHeight w:val="196"/>
        </w:trPr>
        <w:tc>
          <w:tcPr>
            <w:tcW w:w="2376" w:type="dxa"/>
            <w:vMerge w:val="restart"/>
            <w:tcBorders>
              <w:bottom w:val="nil"/>
              <w:right w:val="nil"/>
            </w:tcBorders>
          </w:tcPr>
          <w:p w:rsidR="005A1425" w:rsidRPr="00CD4904" w:rsidRDefault="005A1425" w:rsidP="00E72E07">
            <w:pPr>
              <w:pStyle w:val="SemEspaamento"/>
              <w:jc w:val="center"/>
              <w:rPr>
                <w:rFonts w:ascii="Times New Roman" w:hAnsi="Times New Roman"/>
                <w:color w:val="000000"/>
              </w:rPr>
            </w:pPr>
          </w:p>
          <w:p w:rsidR="005A1425" w:rsidRPr="00CD4904" w:rsidRDefault="005A1425" w:rsidP="00E72E07">
            <w:pPr>
              <w:pStyle w:val="SemEspaamento"/>
              <w:jc w:val="center"/>
              <w:rPr>
                <w:rFonts w:ascii="Times New Roman" w:hAnsi="Times New Roman"/>
                <w:color w:val="000000"/>
              </w:rPr>
            </w:pPr>
            <w:r w:rsidRPr="00CD4904">
              <w:rPr>
                <w:rFonts w:ascii="Times New Roman" w:hAnsi="Times New Roman"/>
                <w:color w:val="000000"/>
              </w:rPr>
              <w:t>MIF (n=39)</w:t>
            </w:r>
          </w:p>
        </w:tc>
        <w:tc>
          <w:tcPr>
            <w:tcW w:w="3402" w:type="dxa"/>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Grave</w:t>
            </w:r>
          </w:p>
        </w:tc>
        <w:tc>
          <w:tcPr>
            <w:tcW w:w="546" w:type="dxa"/>
            <w:tcBorders>
              <w:left w:val="nil"/>
              <w:bottom w:val="nil"/>
              <w:right w:val="nil"/>
            </w:tcBorders>
          </w:tcPr>
          <w:p w:rsidR="005A1425" w:rsidRPr="00E72E07" w:rsidRDefault="005A1425" w:rsidP="005A1425">
            <w:pPr>
              <w:pStyle w:val="SemEspaamento"/>
              <w:jc w:val="center"/>
              <w:rPr>
                <w:rFonts w:ascii="Times New Roman" w:hAnsi="Times New Roman"/>
                <w:color w:val="000000"/>
              </w:rPr>
            </w:pPr>
            <w:proofErr w:type="gramStart"/>
            <w:r>
              <w:rPr>
                <w:rFonts w:ascii="Times New Roman" w:hAnsi="Times New Roman"/>
                <w:color w:val="000000"/>
              </w:rPr>
              <w:t>5</w:t>
            </w:r>
            <w:proofErr w:type="gramEnd"/>
          </w:p>
        </w:tc>
        <w:tc>
          <w:tcPr>
            <w:tcW w:w="1467" w:type="dxa"/>
            <w:gridSpan w:val="3"/>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12,82</w:t>
            </w:r>
          </w:p>
        </w:tc>
        <w:tc>
          <w:tcPr>
            <w:tcW w:w="1426" w:type="dxa"/>
            <w:tcBorders>
              <w:left w:val="nil"/>
              <w:bottom w:val="nil"/>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241"/>
        </w:trPr>
        <w:tc>
          <w:tcPr>
            <w:tcW w:w="2376" w:type="dxa"/>
            <w:vMerge/>
            <w:tcBorders>
              <w:top w:val="nil"/>
              <w:bottom w:val="nil"/>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Moderado</w:t>
            </w:r>
          </w:p>
        </w:tc>
        <w:tc>
          <w:tcPr>
            <w:tcW w:w="546" w:type="dxa"/>
            <w:tcBorders>
              <w:top w:val="nil"/>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15</w:t>
            </w:r>
          </w:p>
        </w:tc>
        <w:tc>
          <w:tcPr>
            <w:tcW w:w="1467" w:type="dxa"/>
            <w:gridSpan w:val="3"/>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38,4</w:t>
            </w:r>
          </w:p>
        </w:tc>
        <w:tc>
          <w:tcPr>
            <w:tcW w:w="1426" w:type="dxa"/>
            <w:tcBorders>
              <w:top w:val="nil"/>
              <w:left w:val="nil"/>
              <w:bottom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80,4(±34,4)</w:t>
            </w:r>
          </w:p>
        </w:tc>
      </w:tr>
      <w:tr w:rsidR="005A1425" w:rsidRPr="00E72E07" w:rsidTr="00394F64">
        <w:trPr>
          <w:trHeight w:val="161"/>
        </w:trPr>
        <w:tc>
          <w:tcPr>
            <w:tcW w:w="2376" w:type="dxa"/>
            <w:vMerge/>
            <w:tcBorders>
              <w:top w:val="nil"/>
              <w:bottom w:val="single" w:sz="6" w:space="0" w:color="auto"/>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Independência funcional</w:t>
            </w:r>
          </w:p>
        </w:tc>
        <w:tc>
          <w:tcPr>
            <w:tcW w:w="546" w:type="dxa"/>
            <w:tcBorders>
              <w:top w:val="nil"/>
              <w:left w:val="nil"/>
              <w:bottom w:val="single" w:sz="6" w:space="0" w:color="auto"/>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19</w:t>
            </w:r>
          </w:p>
        </w:tc>
        <w:tc>
          <w:tcPr>
            <w:tcW w:w="1467" w:type="dxa"/>
            <w:gridSpan w:val="3"/>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48,72</w:t>
            </w:r>
          </w:p>
        </w:tc>
        <w:tc>
          <w:tcPr>
            <w:tcW w:w="1426" w:type="dxa"/>
            <w:tcBorders>
              <w:top w:val="nil"/>
              <w:left w:val="nil"/>
              <w:bottom w:val="single" w:sz="6" w:space="0" w:color="auto"/>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253"/>
        </w:trPr>
        <w:tc>
          <w:tcPr>
            <w:tcW w:w="2376" w:type="dxa"/>
            <w:vMerge w:val="restart"/>
            <w:tcBorders>
              <w:bottom w:val="nil"/>
              <w:right w:val="nil"/>
            </w:tcBorders>
          </w:tcPr>
          <w:p w:rsidR="005A1425" w:rsidRPr="00CD4904" w:rsidRDefault="005A1425" w:rsidP="00E72E07">
            <w:pPr>
              <w:pStyle w:val="SemEspaamento"/>
              <w:jc w:val="center"/>
              <w:rPr>
                <w:rFonts w:ascii="Times New Roman" w:hAnsi="Times New Roman"/>
                <w:color w:val="000000"/>
              </w:rPr>
            </w:pPr>
          </w:p>
          <w:p w:rsidR="005A1425" w:rsidRPr="00CD4904" w:rsidRDefault="005A1425" w:rsidP="00E72E07">
            <w:pPr>
              <w:pStyle w:val="SemEspaamento"/>
              <w:jc w:val="center"/>
              <w:rPr>
                <w:rFonts w:ascii="Times New Roman" w:hAnsi="Times New Roman"/>
                <w:color w:val="000000"/>
              </w:rPr>
            </w:pPr>
            <w:r w:rsidRPr="00CD4904">
              <w:rPr>
                <w:rFonts w:ascii="Times New Roman" w:hAnsi="Times New Roman"/>
                <w:color w:val="000000"/>
              </w:rPr>
              <w:t>EEB (n=39)</w:t>
            </w:r>
          </w:p>
        </w:tc>
        <w:tc>
          <w:tcPr>
            <w:tcW w:w="3402" w:type="dxa"/>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Equilíbrio pobre</w:t>
            </w:r>
          </w:p>
        </w:tc>
        <w:tc>
          <w:tcPr>
            <w:tcW w:w="546" w:type="dxa"/>
            <w:tcBorders>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17</w:t>
            </w:r>
          </w:p>
        </w:tc>
        <w:tc>
          <w:tcPr>
            <w:tcW w:w="1467" w:type="dxa"/>
            <w:gridSpan w:val="3"/>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43,59</w:t>
            </w:r>
          </w:p>
        </w:tc>
        <w:tc>
          <w:tcPr>
            <w:tcW w:w="1426" w:type="dxa"/>
            <w:tcBorders>
              <w:left w:val="nil"/>
              <w:bottom w:val="nil"/>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150"/>
        </w:trPr>
        <w:tc>
          <w:tcPr>
            <w:tcW w:w="2376" w:type="dxa"/>
            <w:vMerge/>
            <w:tcBorders>
              <w:top w:val="nil"/>
              <w:bottom w:val="nil"/>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Equilíbrio moderado</w:t>
            </w:r>
          </w:p>
        </w:tc>
        <w:tc>
          <w:tcPr>
            <w:tcW w:w="546" w:type="dxa"/>
            <w:tcBorders>
              <w:top w:val="nil"/>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11</w:t>
            </w:r>
          </w:p>
        </w:tc>
        <w:tc>
          <w:tcPr>
            <w:tcW w:w="1467" w:type="dxa"/>
            <w:gridSpan w:val="3"/>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28,21</w:t>
            </w:r>
          </w:p>
        </w:tc>
        <w:tc>
          <w:tcPr>
            <w:tcW w:w="1426" w:type="dxa"/>
            <w:tcBorders>
              <w:top w:val="nil"/>
              <w:left w:val="nil"/>
              <w:bottom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24,5(±18,5)</w:t>
            </w:r>
          </w:p>
        </w:tc>
      </w:tr>
      <w:tr w:rsidR="005A1425" w:rsidRPr="00E72E07" w:rsidTr="00394F64">
        <w:trPr>
          <w:trHeight w:val="189"/>
        </w:trPr>
        <w:tc>
          <w:tcPr>
            <w:tcW w:w="2376" w:type="dxa"/>
            <w:vMerge/>
            <w:tcBorders>
              <w:top w:val="nil"/>
              <w:bottom w:val="single" w:sz="6" w:space="0" w:color="auto"/>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Equilíbrio bom</w:t>
            </w:r>
          </w:p>
        </w:tc>
        <w:tc>
          <w:tcPr>
            <w:tcW w:w="546" w:type="dxa"/>
            <w:tcBorders>
              <w:top w:val="nil"/>
              <w:left w:val="nil"/>
              <w:bottom w:val="single" w:sz="6" w:space="0" w:color="auto"/>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11</w:t>
            </w:r>
          </w:p>
        </w:tc>
        <w:tc>
          <w:tcPr>
            <w:tcW w:w="1467" w:type="dxa"/>
            <w:gridSpan w:val="3"/>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28,21</w:t>
            </w:r>
          </w:p>
        </w:tc>
        <w:tc>
          <w:tcPr>
            <w:tcW w:w="1426" w:type="dxa"/>
            <w:tcBorders>
              <w:top w:val="nil"/>
              <w:left w:val="nil"/>
              <w:bottom w:val="single" w:sz="6" w:space="0" w:color="auto"/>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103"/>
        </w:trPr>
        <w:tc>
          <w:tcPr>
            <w:tcW w:w="2376" w:type="dxa"/>
            <w:vMerge w:val="restart"/>
            <w:tcBorders>
              <w:bottom w:val="nil"/>
              <w:right w:val="nil"/>
            </w:tcBorders>
          </w:tcPr>
          <w:p w:rsidR="005A1425" w:rsidRPr="00CD4904" w:rsidRDefault="005A1425" w:rsidP="00E72E07">
            <w:pPr>
              <w:pStyle w:val="SemEspaamento"/>
              <w:jc w:val="center"/>
              <w:rPr>
                <w:rFonts w:ascii="Times New Roman" w:hAnsi="Times New Roman"/>
                <w:color w:val="000000"/>
              </w:rPr>
            </w:pPr>
          </w:p>
          <w:p w:rsidR="005A1425" w:rsidRPr="00CD4904" w:rsidRDefault="005A1425" w:rsidP="00E72E07">
            <w:pPr>
              <w:pStyle w:val="SemEspaamento"/>
              <w:jc w:val="center"/>
              <w:rPr>
                <w:rFonts w:ascii="Times New Roman" w:hAnsi="Times New Roman"/>
                <w:color w:val="000000"/>
              </w:rPr>
            </w:pPr>
            <w:r w:rsidRPr="00CD4904">
              <w:rPr>
                <w:rFonts w:ascii="Times New Roman" w:hAnsi="Times New Roman"/>
                <w:color w:val="000000"/>
              </w:rPr>
              <w:t>FM (n=32)</w:t>
            </w:r>
          </w:p>
        </w:tc>
        <w:tc>
          <w:tcPr>
            <w:tcW w:w="3402" w:type="dxa"/>
            <w:tcBorders>
              <w:left w:val="nil"/>
              <w:bottom w:val="nil"/>
              <w:right w:val="nil"/>
            </w:tcBorders>
          </w:tcPr>
          <w:p w:rsidR="005A1425" w:rsidRPr="00E72E07" w:rsidRDefault="005A1425" w:rsidP="005A1425">
            <w:pPr>
              <w:pStyle w:val="SemEspaamento"/>
              <w:tabs>
                <w:tab w:val="left" w:pos="829"/>
                <w:tab w:val="center" w:pos="1427"/>
              </w:tabs>
              <w:rPr>
                <w:rFonts w:ascii="Times New Roman" w:hAnsi="Times New Roman"/>
                <w:color w:val="000000"/>
              </w:rPr>
            </w:pPr>
            <w:r w:rsidRPr="00E72E07">
              <w:rPr>
                <w:rFonts w:ascii="Times New Roman" w:hAnsi="Times New Roman"/>
                <w:color w:val="000000"/>
              </w:rPr>
              <w:t>Comprometimento grave</w:t>
            </w:r>
          </w:p>
        </w:tc>
        <w:tc>
          <w:tcPr>
            <w:tcW w:w="546" w:type="dxa"/>
            <w:tcBorders>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15</w:t>
            </w:r>
          </w:p>
        </w:tc>
        <w:tc>
          <w:tcPr>
            <w:tcW w:w="1467" w:type="dxa"/>
            <w:gridSpan w:val="3"/>
            <w:tcBorders>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46,88</w:t>
            </w:r>
          </w:p>
        </w:tc>
        <w:tc>
          <w:tcPr>
            <w:tcW w:w="1426" w:type="dxa"/>
            <w:tcBorders>
              <w:left w:val="nil"/>
              <w:bottom w:val="nil"/>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92"/>
        </w:trPr>
        <w:tc>
          <w:tcPr>
            <w:tcW w:w="2376" w:type="dxa"/>
            <w:vMerge/>
            <w:tcBorders>
              <w:top w:val="nil"/>
              <w:bottom w:val="nil"/>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Comprometimento grave-moderado</w:t>
            </w:r>
          </w:p>
        </w:tc>
        <w:tc>
          <w:tcPr>
            <w:tcW w:w="546" w:type="dxa"/>
            <w:tcBorders>
              <w:top w:val="nil"/>
              <w:left w:val="nil"/>
              <w:bottom w:val="nil"/>
              <w:right w:val="nil"/>
            </w:tcBorders>
          </w:tcPr>
          <w:p w:rsidR="005A1425" w:rsidRPr="00E72E07" w:rsidRDefault="005A1425" w:rsidP="005A1425">
            <w:pPr>
              <w:pStyle w:val="SemEspaamento"/>
              <w:jc w:val="center"/>
              <w:rPr>
                <w:rFonts w:ascii="Times New Roman" w:hAnsi="Times New Roman"/>
                <w:color w:val="000000"/>
              </w:rPr>
            </w:pPr>
            <w:r>
              <w:rPr>
                <w:rFonts w:ascii="Times New Roman" w:hAnsi="Times New Roman"/>
                <w:color w:val="000000"/>
              </w:rPr>
              <w:t>12</w:t>
            </w:r>
          </w:p>
        </w:tc>
        <w:tc>
          <w:tcPr>
            <w:tcW w:w="1467" w:type="dxa"/>
            <w:gridSpan w:val="3"/>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37,50</w:t>
            </w:r>
          </w:p>
        </w:tc>
        <w:tc>
          <w:tcPr>
            <w:tcW w:w="1426" w:type="dxa"/>
            <w:tcBorders>
              <w:top w:val="nil"/>
              <w:left w:val="nil"/>
              <w:bottom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48,3(±32,3)</w:t>
            </w:r>
          </w:p>
        </w:tc>
      </w:tr>
      <w:tr w:rsidR="005A1425" w:rsidRPr="00E72E07" w:rsidTr="00394F64">
        <w:trPr>
          <w:trHeight w:val="161"/>
        </w:trPr>
        <w:tc>
          <w:tcPr>
            <w:tcW w:w="2376" w:type="dxa"/>
            <w:vMerge/>
            <w:tcBorders>
              <w:top w:val="nil"/>
              <w:bottom w:val="nil"/>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Comprometimento moderado</w:t>
            </w:r>
          </w:p>
        </w:tc>
        <w:tc>
          <w:tcPr>
            <w:tcW w:w="546" w:type="dxa"/>
            <w:tcBorders>
              <w:top w:val="nil"/>
              <w:left w:val="nil"/>
              <w:bottom w:val="nil"/>
              <w:right w:val="nil"/>
            </w:tcBorders>
          </w:tcPr>
          <w:p w:rsidR="005A1425" w:rsidRPr="00E72E07" w:rsidRDefault="005A1425" w:rsidP="005A1425">
            <w:pPr>
              <w:pStyle w:val="SemEspaamento"/>
              <w:jc w:val="center"/>
              <w:rPr>
                <w:rFonts w:ascii="Times New Roman" w:hAnsi="Times New Roman"/>
                <w:color w:val="000000"/>
              </w:rPr>
            </w:pPr>
            <w:proofErr w:type="gramStart"/>
            <w:r>
              <w:rPr>
                <w:rFonts w:ascii="Times New Roman" w:hAnsi="Times New Roman"/>
                <w:color w:val="000000"/>
              </w:rPr>
              <w:t>4</w:t>
            </w:r>
            <w:proofErr w:type="gramEnd"/>
          </w:p>
        </w:tc>
        <w:tc>
          <w:tcPr>
            <w:tcW w:w="1467" w:type="dxa"/>
            <w:gridSpan w:val="3"/>
            <w:tcBorders>
              <w:top w:val="nil"/>
              <w:left w:val="nil"/>
              <w:bottom w:val="nil"/>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12,5</w:t>
            </w:r>
          </w:p>
        </w:tc>
        <w:tc>
          <w:tcPr>
            <w:tcW w:w="1426" w:type="dxa"/>
            <w:tcBorders>
              <w:top w:val="nil"/>
              <w:left w:val="nil"/>
              <w:bottom w:val="nil"/>
            </w:tcBorders>
          </w:tcPr>
          <w:p w:rsidR="005A1425" w:rsidRPr="00E72E07" w:rsidRDefault="005A1425" w:rsidP="00E72E07">
            <w:pPr>
              <w:pStyle w:val="SemEspaamento"/>
              <w:jc w:val="center"/>
              <w:rPr>
                <w:rFonts w:ascii="Times New Roman" w:hAnsi="Times New Roman"/>
                <w:color w:val="000000"/>
              </w:rPr>
            </w:pPr>
          </w:p>
        </w:tc>
      </w:tr>
      <w:tr w:rsidR="005A1425" w:rsidRPr="00E72E07" w:rsidTr="00394F64">
        <w:trPr>
          <w:trHeight w:val="81"/>
        </w:trPr>
        <w:tc>
          <w:tcPr>
            <w:tcW w:w="2376" w:type="dxa"/>
            <w:vMerge/>
            <w:tcBorders>
              <w:top w:val="nil"/>
              <w:bottom w:val="single" w:sz="6" w:space="0" w:color="auto"/>
              <w:right w:val="nil"/>
            </w:tcBorders>
          </w:tcPr>
          <w:p w:rsidR="005A1425" w:rsidRPr="00CD4904" w:rsidRDefault="005A1425" w:rsidP="00E72E07">
            <w:pPr>
              <w:pStyle w:val="SemEspaamento"/>
              <w:jc w:val="center"/>
              <w:rPr>
                <w:rFonts w:ascii="Times New Roman" w:hAnsi="Times New Roman"/>
                <w:color w:val="000000"/>
              </w:rPr>
            </w:pPr>
          </w:p>
        </w:tc>
        <w:tc>
          <w:tcPr>
            <w:tcW w:w="3402" w:type="dxa"/>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Comprometimento leve</w:t>
            </w:r>
          </w:p>
        </w:tc>
        <w:tc>
          <w:tcPr>
            <w:tcW w:w="546" w:type="dxa"/>
            <w:tcBorders>
              <w:top w:val="nil"/>
              <w:left w:val="nil"/>
              <w:bottom w:val="single" w:sz="6" w:space="0" w:color="auto"/>
              <w:right w:val="nil"/>
            </w:tcBorders>
          </w:tcPr>
          <w:p w:rsidR="005A1425" w:rsidRPr="00E72E07" w:rsidRDefault="005A1425" w:rsidP="005A1425">
            <w:pPr>
              <w:pStyle w:val="SemEspaamento"/>
              <w:jc w:val="center"/>
              <w:rPr>
                <w:rFonts w:ascii="Times New Roman" w:hAnsi="Times New Roman"/>
                <w:color w:val="000000"/>
              </w:rPr>
            </w:pPr>
            <w:proofErr w:type="gramStart"/>
            <w:r>
              <w:rPr>
                <w:rFonts w:ascii="Times New Roman" w:hAnsi="Times New Roman"/>
                <w:color w:val="000000"/>
              </w:rPr>
              <w:t>1</w:t>
            </w:r>
            <w:proofErr w:type="gramEnd"/>
          </w:p>
        </w:tc>
        <w:tc>
          <w:tcPr>
            <w:tcW w:w="1467" w:type="dxa"/>
            <w:gridSpan w:val="3"/>
            <w:tcBorders>
              <w:top w:val="nil"/>
              <w:left w:val="nil"/>
              <w:bottom w:val="single" w:sz="6" w:space="0" w:color="auto"/>
              <w:right w:val="nil"/>
            </w:tcBorders>
          </w:tcPr>
          <w:p w:rsidR="005A1425" w:rsidRPr="00E72E07" w:rsidRDefault="005A1425" w:rsidP="00E72E07">
            <w:pPr>
              <w:pStyle w:val="SemEspaamento"/>
              <w:jc w:val="center"/>
              <w:rPr>
                <w:rFonts w:ascii="Times New Roman" w:hAnsi="Times New Roman"/>
                <w:color w:val="000000"/>
              </w:rPr>
            </w:pPr>
            <w:r w:rsidRPr="00E72E07">
              <w:rPr>
                <w:rFonts w:ascii="Times New Roman" w:hAnsi="Times New Roman"/>
                <w:color w:val="000000"/>
              </w:rPr>
              <w:t>3,13</w:t>
            </w:r>
          </w:p>
        </w:tc>
        <w:tc>
          <w:tcPr>
            <w:tcW w:w="1426" w:type="dxa"/>
            <w:tcBorders>
              <w:top w:val="nil"/>
              <w:left w:val="nil"/>
              <w:bottom w:val="single" w:sz="6" w:space="0" w:color="auto"/>
            </w:tcBorders>
          </w:tcPr>
          <w:p w:rsidR="005A1425" w:rsidRPr="00E72E07" w:rsidRDefault="005A1425" w:rsidP="00E72E07">
            <w:pPr>
              <w:pStyle w:val="SemEspaamento"/>
              <w:jc w:val="center"/>
              <w:rPr>
                <w:rFonts w:ascii="Times New Roman" w:hAnsi="Times New Roman"/>
                <w:color w:val="000000"/>
              </w:rPr>
            </w:pPr>
          </w:p>
        </w:tc>
      </w:tr>
      <w:tr w:rsidR="00CD4904" w:rsidRPr="00E72E07" w:rsidTr="00394F64">
        <w:trPr>
          <w:trHeight w:val="138"/>
        </w:trPr>
        <w:tc>
          <w:tcPr>
            <w:tcW w:w="2376" w:type="dxa"/>
            <w:vMerge w:val="restart"/>
            <w:tcBorders>
              <w:bottom w:val="nil"/>
              <w:right w:val="nil"/>
            </w:tcBorders>
          </w:tcPr>
          <w:p w:rsidR="00CD4904" w:rsidRPr="00394F64" w:rsidRDefault="00CD4904" w:rsidP="00E72E07">
            <w:pPr>
              <w:pStyle w:val="SemEspaamento"/>
              <w:jc w:val="center"/>
              <w:rPr>
                <w:rFonts w:ascii="Times New Roman" w:hAnsi="Times New Roman"/>
                <w:color w:val="000000"/>
              </w:rPr>
            </w:pPr>
          </w:p>
          <w:p w:rsidR="00CD4904" w:rsidRPr="00394F64" w:rsidRDefault="00CD4904" w:rsidP="00394F64">
            <w:pPr>
              <w:pStyle w:val="SemEspaamento"/>
              <w:jc w:val="center"/>
              <w:rPr>
                <w:rFonts w:ascii="Times New Roman" w:hAnsi="Times New Roman"/>
                <w:color w:val="000000"/>
              </w:rPr>
            </w:pPr>
            <w:r w:rsidRPr="00394F64">
              <w:rPr>
                <w:rFonts w:ascii="Times New Roman" w:hAnsi="Times New Roman"/>
                <w:color w:val="000000"/>
              </w:rPr>
              <w:t>TUG (n=2</w:t>
            </w:r>
            <w:r w:rsidR="00394F64" w:rsidRPr="00394F64">
              <w:rPr>
                <w:rFonts w:ascii="Times New Roman" w:hAnsi="Times New Roman"/>
                <w:color w:val="000000"/>
              </w:rPr>
              <w:t>5</w:t>
            </w:r>
            <w:r w:rsidRPr="00394F64">
              <w:rPr>
                <w:rFonts w:ascii="Times New Roman" w:hAnsi="Times New Roman"/>
                <w:color w:val="000000"/>
              </w:rPr>
              <w:t>)</w:t>
            </w:r>
          </w:p>
        </w:tc>
        <w:tc>
          <w:tcPr>
            <w:tcW w:w="3402" w:type="dxa"/>
            <w:tcBorders>
              <w:left w:val="nil"/>
              <w:bottom w:val="nil"/>
              <w:right w:val="nil"/>
            </w:tcBorders>
          </w:tcPr>
          <w:p w:rsidR="00CD4904" w:rsidRPr="00394F64" w:rsidRDefault="00CD4904" w:rsidP="00CD4904">
            <w:pPr>
              <w:pStyle w:val="SemEspaamento"/>
              <w:jc w:val="center"/>
              <w:rPr>
                <w:rFonts w:ascii="Times New Roman" w:hAnsi="Times New Roman"/>
                <w:color w:val="000000"/>
              </w:rPr>
            </w:pPr>
            <w:r w:rsidRPr="00394F64">
              <w:rPr>
                <w:rFonts w:ascii="Times New Roman" w:hAnsi="Times New Roman"/>
                <w:color w:val="000000"/>
              </w:rPr>
              <w:t>Alto risco de quedas</w:t>
            </w:r>
          </w:p>
        </w:tc>
        <w:tc>
          <w:tcPr>
            <w:tcW w:w="546" w:type="dxa"/>
            <w:tcBorders>
              <w:left w:val="nil"/>
              <w:bottom w:val="nil"/>
              <w:right w:val="nil"/>
            </w:tcBorders>
          </w:tcPr>
          <w:p w:rsidR="00CD4904" w:rsidRPr="00394F64" w:rsidRDefault="00394F64" w:rsidP="00CD4904">
            <w:pPr>
              <w:pStyle w:val="SemEspaamento"/>
              <w:jc w:val="center"/>
              <w:rPr>
                <w:rFonts w:ascii="Times New Roman" w:hAnsi="Times New Roman"/>
                <w:color w:val="000000"/>
              </w:rPr>
            </w:pPr>
            <w:proofErr w:type="gramStart"/>
            <w:r w:rsidRPr="00394F64">
              <w:rPr>
                <w:rFonts w:ascii="Times New Roman" w:hAnsi="Times New Roman"/>
                <w:color w:val="000000"/>
              </w:rPr>
              <w:t>9</w:t>
            </w:r>
            <w:proofErr w:type="gramEnd"/>
          </w:p>
        </w:tc>
        <w:tc>
          <w:tcPr>
            <w:tcW w:w="1467" w:type="dxa"/>
            <w:gridSpan w:val="3"/>
            <w:tcBorders>
              <w:left w:val="nil"/>
              <w:bottom w:val="nil"/>
              <w:right w:val="nil"/>
            </w:tcBorders>
          </w:tcPr>
          <w:p w:rsidR="00CD4904" w:rsidRPr="00E72E07" w:rsidRDefault="00394F64" w:rsidP="00E72E07">
            <w:pPr>
              <w:pStyle w:val="SemEspaamento"/>
              <w:jc w:val="center"/>
              <w:rPr>
                <w:rFonts w:ascii="Times New Roman" w:hAnsi="Times New Roman"/>
                <w:color w:val="000000"/>
              </w:rPr>
            </w:pPr>
            <w:r>
              <w:rPr>
                <w:rFonts w:ascii="Times New Roman" w:hAnsi="Times New Roman"/>
                <w:color w:val="000000"/>
              </w:rPr>
              <w:t>36</w:t>
            </w:r>
          </w:p>
        </w:tc>
        <w:tc>
          <w:tcPr>
            <w:tcW w:w="1426" w:type="dxa"/>
            <w:tcBorders>
              <w:left w:val="nil"/>
              <w:bottom w:val="nil"/>
            </w:tcBorders>
          </w:tcPr>
          <w:p w:rsidR="00CD4904" w:rsidRPr="00E72E07" w:rsidRDefault="00CD4904" w:rsidP="00E72E07">
            <w:pPr>
              <w:pStyle w:val="SemEspaamento"/>
              <w:jc w:val="center"/>
              <w:rPr>
                <w:rFonts w:ascii="Times New Roman" w:hAnsi="Times New Roman"/>
                <w:color w:val="000000"/>
              </w:rPr>
            </w:pPr>
          </w:p>
        </w:tc>
      </w:tr>
      <w:tr w:rsidR="00CD4904" w:rsidRPr="00E72E07" w:rsidTr="00394F64">
        <w:trPr>
          <w:trHeight w:val="126"/>
        </w:trPr>
        <w:tc>
          <w:tcPr>
            <w:tcW w:w="2376" w:type="dxa"/>
            <w:vMerge/>
            <w:tcBorders>
              <w:top w:val="nil"/>
              <w:bottom w:val="nil"/>
              <w:right w:val="nil"/>
            </w:tcBorders>
          </w:tcPr>
          <w:p w:rsidR="00CD4904" w:rsidRPr="00394F64" w:rsidRDefault="00CD4904"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CD4904" w:rsidRPr="00394F64" w:rsidRDefault="00CD4904" w:rsidP="00E72E07">
            <w:pPr>
              <w:pStyle w:val="SemEspaamento"/>
              <w:jc w:val="center"/>
              <w:rPr>
                <w:rFonts w:ascii="Times New Roman" w:hAnsi="Times New Roman"/>
                <w:color w:val="000000"/>
              </w:rPr>
            </w:pPr>
            <w:r w:rsidRPr="00394F64">
              <w:rPr>
                <w:rFonts w:ascii="Times New Roman" w:hAnsi="Times New Roman"/>
                <w:color w:val="000000"/>
              </w:rPr>
              <w:t>Baixo risco de quedas</w:t>
            </w:r>
          </w:p>
        </w:tc>
        <w:tc>
          <w:tcPr>
            <w:tcW w:w="546" w:type="dxa"/>
            <w:tcBorders>
              <w:top w:val="nil"/>
              <w:left w:val="nil"/>
              <w:bottom w:val="nil"/>
              <w:right w:val="nil"/>
            </w:tcBorders>
          </w:tcPr>
          <w:p w:rsidR="00CD4904" w:rsidRPr="00394F64" w:rsidRDefault="00394F64" w:rsidP="00394F64">
            <w:pPr>
              <w:pStyle w:val="SemEspaamento"/>
              <w:jc w:val="center"/>
              <w:rPr>
                <w:rFonts w:ascii="Times New Roman" w:hAnsi="Times New Roman"/>
                <w:color w:val="000000"/>
              </w:rPr>
            </w:pPr>
            <w:r w:rsidRPr="00394F64">
              <w:rPr>
                <w:rFonts w:ascii="Times New Roman" w:hAnsi="Times New Roman"/>
                <w:color w:val="000000"/>
              </w:rPr>
              <w:t>13</w:t>
            </w:r>
          </w:p>
        </w:tc>
        <w:tc>
          <w:tcPr>
            <w:tcW w:w="1467" w:type="dxa"/>
            <w:gridSpan w:val="3"/>
            <w:tcBorders>
              <w:top w:val="nil"/>
              <w:left w:val="nil"/>
              <w:bottom w:val="nil"/>
              <w:right w:val="nil"/>
            </w:tcBorders>
          </w:tcPr>
          <w:p w:rsidR="00CD4904" w:rsidRPr="00E72E07" w:rsidRDefault="00394F64" w:rsidP="00E72E07">
            <w:pPr>
              <w:pStyle w:val="SemEspaamento"/>
              <w:jc w:val="center"/>
              <w:rPr>
                <w:rFonts w:ascii="Times New Roman" w:hAnsi="Times New Roman"/>
                <w:color w:val="000000"/>
              </w:rPr>
            </w:pPr>
            <w:r>
              <w:rPr>
                <w:rFonts w:ascii="Times New Roman" w:hAnsi="Times New Roman"/>
                <w:color w:val="000000"/>
              </w:rPr>
              <w:t>52</w:t>
            </w:r>
          </w:p>
        </w:tc>
        <w:tc>
          <w:tcPr>
            <w:tcW w:w="1426" w:type="dxa"/>
            <w:tcBorders>
              <w:top w:val="nil"/>
              <w:left w:val="nil"/>
              <w:bottom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29,7(±27,5)</w:t>
            </w:r>
          </w:p>
        </w:tc>
      </w:tr>
      <w:tr w:rsidR="00CD4904" w:rsidRPr="00E72E07" w:rsidTr="00394F64">
        <w:trPr>
          <w:trHeight w:val="115"/>
        </w:trPr>
        <w:tc>
          <w:tcPr>
            <w:tcW w:w="2376" w:type="dxa"/>
            <w:vMerge/>
            <w:tcBorders>
              <w:top w:val="nil"/>
              <w:bottom w:val="single" w:sz="6" w:space="0" w:color="auto"/>
              <w:right w:val="nil"/>
            </w:tcBorders>
          </w:tcPr>
          <w:p w:rsidR="00CD4904" w:rsidRPr="00394F64" w:rsidRDefault="00CD4904" w:rsidP="00E72E07">
            <w:pPr>
              <w:pStyle w:val="SemEspaamento"/>
              <w:jc w:val="center"/>
              <w:rPr>
                <w:rFonts w:ascii="Times New Roman" w:hAnsi="Times New Roman"/>
                <w:color w:val="000000"/>
              </w:rPr>
            </w:pPr>
          </w:p>
        </w:tc>
        <w:tc>
          <w:tcPr>
            <w:tcW w:w="3402" w:type="dxa"/>
            <w:tcBorders>
              <w:top w:val="nil"/>
              <w:left w:val="nil"/>
              <w:bottom w:val="single" w:sz="6" w:space="0" w:color="auto"/>
              <w:right w:val="nil"/>
            </w:tcBorders>
          </w:tcPr>
          <w:p w:rsidR="00CD4904" w:rsidRPr="00394F64" w:rsidRDefault="00CD4904" w:rsidP="00E72E07">
            <w:pPr>
              <w:pStyle w:val="SemEspaamento"/>
              <w:jc w:val="center"/>
              <w:rPr>
                <w:rFonts w:ascii="Times New Roman" w:hAnsi="Times New Roman"/>
                <w:color w:val="000000"/>
              </w:rPr>
            </w:pPr>
            <w:r w:rsidRPr="00394F64">
              <w:rPr>
                <w:rFonts w:ascii="Times New Roman" w:hAnsi="Times New Roman"/>
                <w:color w:val="000000"/>
              </w:rPr>
              <w:t>Risco normal de quedas</w:t>
            </w:r>
          </w:p>
        </w:tc>
        <w:tc>
          <w:tcPr>
            <w:tcW w:w="546" w:type="dxa"/>
            <w:tcBorders>
              <w:top w:val="nil"/>
              <w:left w:val="nil"/>
              <w:bottom w:val="single" w:sz="6" w:space="0" w:color="auto"/>
              <w:right w:val="nil"/>
            </w:tcBorders>
          </w:tcPr>
          <w:p w:rsidR="00CD4904" w:rsidRPr="00394F64" w:rsidRDefault="00394F64" w:rsidP="00CD4904">
            <w:pPr>
              <w:pStyle w:val="SemEspaamento"/>
              <w:jc w:val="center"/>
              <w:rPr>
                <w:rFonts w:ascii="Times New Roman" w:hAnsi="Times New Roman"/>
                <w:color w:val="000000"/>
              </w:rPr>
            </w:pPr>
            <w:proofErr w:type="gramStart"/>
            <w:r w:rsidRPr="00394F64">
              <w:rPr>
                <w:rFonts w:ascii="Times New Roman" w:hAnsi="Times New Roman"/>
                <w:color w:val="000000"/>
              </w:rPr>
              <w:t>3</w:t>
            </w:r>
            <w:proofErr w:type="gramEnd"/>
          </w:p>
        </w:tc>
        <w:tc>
          <w:tcPr>
            <w:tcW w:w="1467" w:type="dxa"/>
            <w:gridSpan w:val="3"/>
            <w:tcBorders>
              <w:top w:val="nil"/>
              <w:left w:val="nil"/>
              <w:bottom w:val="single" w:sz="6" w:space="0" w:color="auto"/>
              <w:right w:val="nil"/>
            </w:tcBorders>
          </w:tcPr>
          <w:p w:rsidR="00CD4904" w:rsidRPr="00E72E07" w:rsidRDefault="00394F64" w:rsidP="00E72E07">
            <w:pPr>
              <w:pStyle w:val="SemEspaamento"/>
              <w:jc w:val="center"/>
              <w:rPr>
                <w:rFonts w:ascii="Times New Roman" w:hAnsi="Times New Roman"/>
                <w:color w:val="000000"/>
              </w:rPr>
            </w:pPr>
            <w:r>
              <w:rPr>
                <w:rFonts w:ascii="Times New Roman" w:hAnsi="Times New Roman"/>
                <w:color w:val="000000"/>
              </w:rPr>
              <w:t>12</w:t>
            </w:r>
          </w:p>
        </w:tc>
        <w:tc>
          <w:tcPr>
            <w:tcW w:w="1426" w:type="dxa"/>
            <w:tcBorders>
              <w:top w:val="nil"/>
              <w:left w:val="nil"/>
              <w:bottom w:val="single" w:sz="6" w:space="0" w:color="auto"/>
            </w:tcBorders>
          </w:tcPr>
          <w:p w:rsidR="00CD4904" w:rsidRPr="00E72E07" w:rsidRDefault="00CD4904" w:rsidP="00E72E07">
            <w:pPr>
              <w:pStyle w:val="SemEspaamento"/>
              <w:jc w:val="center"/>
              <w:rPr>
                <w:rFonts w:ascii="Times New Roman" w:hAnsi="Times New Roman"/>
                <w:color w:val="000000"/>
              </w:rPr>
            </w:pPr>
          </w:p>
        </w:tc>
      </w:tr>
      <w:tr w:rsidR="00CD4904" w:rsidRPr="00E72E07" w:rsidTr="00394F64">
        <w:trPr>
          <w:trHeight w:val="92"/>
        </w:trPr>
        <w:tc>
          <w:tcPr>
            <w:tcW w:w="2376" w:type="dxa"/>
            <w:vMerge w:val="restart"/>
            <w:tcBorders>
              <w:right w:val="nil"/>
            </w:tcBorders>
          </w:tcPr>
          <w:p w:rsidR="00CD4904" w:rsidRPr="00CD4904" w:rsidRDefault="00CD4904" w:rsidP="00E72E07">
            <w:pPr>
              <w:pStyle w:val="SemEspaamento"/>
              <w:jc w:val="center"/>
              <w:rPr>
                <w:rFonts w:ascii="Times New Roman" w:hAnsi="Times New Roman"/>
                <w:color w:val="000000"/>
              </w:rPr>
            </w:pPr>
          </w:p>
          <w:p w:rsidR="00CD4904" w:rsidRPr="00CD4904" w:rsidRDefault="00CD4904" w:rsidP="00E72E07">
            <w:pPr>
              <w:pStyle w:val="SemEspaamento"/>
              <w:jc w:val="center"/>
              <w:rPr>
                <w:rFonts w:ascii="Times New Roman" w:hAnsi="Times New Roman"/>
                <w:color w:val="000000"/>
              </w:rPr>
            </w:pPr>
          </w:p>
          <w:p w:rsidR="00CD4904" w:rsidRPr="00CD4904" w:rsidRDefault="00CD4904" w:rsidP="00E72E07">
            <w:pPr>
              <w:pStyle w:val="SemEspaamento"/>
              <w:jc w:val="center"/>
              <w:rPr>
                <w:rFonts w:ascii="Times New Roman" w:hAnsi="Times New Roman"/>
                <w:color w:val="000000"/>
              </w:rPr>
            </w:pPr>
            <w:r w:rsidRPr="00CD4904">
              <w:rPr>
                <w:rFonts w:ascii="Times New Roman" w:hAnsi="Times New Roman"/>
                <w:color w:val="000000"/>
              </w:rPr>
              <w:t>FAC (n=39)</w:t>
            </w:r>
          </w:p>
        </w:tc>
        <w:tc>
          <w:tcPr>
            <w:tcW w:w="3402" w:type="dxa"/>
            <w:tcBorders>
              <w:left w:val="nil"/>
              <w:bottom w:val="nil"/>
              <w:right w:val="nil"/>
            </w:tcBorders>
          </w:tcPr>
          <w:p w:rsidR="00CD4904" w:rsidRPr="00E72E07" w:rsidRDefault="00CD4904" w:rsidP="00CD4904">
            <w:pPr>
              <w:pStyle w:val="SemEspaamento"/>
              <w:jc w:val="center"/>
              <w:rPr>
                <w:rFonts w:ascii="Times New Roman" w:hAnsi="Times New Roman"/>
                <w:color w:val="000000"/>
              </w:rPr>
            </w:pPr>
            <w:r w:rsidRPr="00E72E07">
              <w:rPr>
                <w:rFonts w:ascii="Times New Roman" w:hAnsi="Times New Roman"/>
                <w:color w:val="000000"/>
              </w:rPr>
              <w:t>Não pode andar</w:t>
            </w:r>
          </w:p>
        </w:tc>
        <w:tc>
          <w:tcPr>
            <w:tcW w:w="546" w:type="dxa"/>
            <w:tcBorders>
              <w:left w:val="nil"/>
              <w:bottom w:val="nil"/>
              <w:right w:val="nil"/>
            </w:tcBorders>
          </w:tcPr>
          <w:p w:rsidR="00CD4904" w:rsidRPr="00E72E07" w:rsidRDefault="00CD4904" w:rsidP="00CD4904">
            <w:pPr>
              <w:pStyle w:val="SemEspaamento"/>
              <w:jc w:val="center"/>
              <w:rPr>
                <w:rFonts w:ascii="Times New Roman" w:hAnsi="Times New Roman"/>
                <w:color w:val="000000"/>
              </w:rPr>
            </w:pPr>
            <w:proofErr w:type="gramStart"/>
            <w:r>
              <w:rPr>
                <w:rFonts w:ascii="Times New Roman" w:hAnsi="Times New Roman"/>
                <w:color w:val="000000"/>
              </w:rPr>
              <w:t>9</w:t>
            </w:r>
            <w:proofErr w:type="gramEnd"/>
          </w:p>
        </w:tc>
        <w:tc>
          <w:tcPr>
            <w:tcW w:w="1458" w:type="dxa"/>
            <w:gridSpan w:val="2"/>
            <w:tcBorders>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23,07</w:t>
            </w:r>
          </w:p>
        </w:tc>
        <w:tc>
          <w:tcPr>
            <w:tcW w:w="1435" w:type="dxa"/>
            <w:gridSpan w:val="2"/>
            <w:tcBorders>
              <w:left w:val="nil"/>
              <w:bottom w:val="nil"/>
            </w:tcBorders>
          </w:tcPr>
          <w:p w:rsidR="00CD4904" w:rsidRPr="00E72E07" w:rsidRDefault="00CD4904" w:rsidP="00E72E07">
            <w:pPr>
              <w:pStyle w:val="SemEspaamento"/>
              <w:jc w:val="center"/>
              <w:rPr>
                <w:rFonts w:ascii="Times New Roman" w:hAnsi="Times New Roman"/>
                <w:color w:val="000000"/>
              </w:rPr>
            </w:pPr>
          </w:p>
        </w:tc>
      </w:tr>
      <w:tr w:rsidR="00CD4904" w:rsidRPr="00E72E07" w:rsidTr="00394F64">
        <w:trPr>
          <w:trHeight w:val="126"/>
        </w:trPr>
        <w:tc>
          <w:tcPr>
            <w:tcW w:w="2376" w:type="dxa"/>
            <w:vMerge/>
            <w:tcBorders>
              <w:right w:val="nil"/>
            </w:tcBorders>
          </w:tcPr>
          <w:p w:rsidR="00CD4904" w:rsidRPr="00E72E07" w:rsidRDefault="00CD4904"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Necessidade de suporte contínuo</w:t>
            </w:r>
          </w:p>
        </w:tc>
        <w:tc>
          <w:tcPr>
            <w:tcW w:w="546" w:type="dxa"/>
            <w:tcBorders>
              <w:top w:val="nil"/>
              <w:left w:val="nil"/>
              <w:bottom w:val="nil"/>
              <w:right w:val="nil"/>
            </w:tcBorders>
          </w:tcPr>
          <w:p w:rsidR="00CD4904" w:rsidRPr="00E72E07" w:rsidRDefault="00CD4904" w:rsidP="00CD4904">
            <w:pPr>
              <w:pStyle w:val="SemEspaamento"/>
              <w:jc w:val="center"/>
              <w:rPr>
                <w:rFonts w:ascii="Times New Roman" w:hAnsi="Times New Roman"/>
                <w:color w:val="000000"/>
              </w:rPr>
            </w:pPr>
            <w:proofErr w:type="gramStart"/>
            <w:r>
              <w:rPr>
                <w:rFonts w:ascii="Times New Roman" w:hAnsi="Times New Roman"/>
                <w:color w:val="000000"/>
              </w:rPr>
              <w:t>5</w:t>
            </w:r>
            <w:proofErr w:type="gramEnd"/>
          </w:p>
        </w:tc>
        <w:tc>
          <w:tcPr>
            <w:tcW w:w="1458" w:type="dxa"/>
            <w:gridSpan w:val="2"/>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12,82</w:t>
            </w:r>
          </w:p>
        </w:tc>
        <w:tc>
          <w:tcPr>
            <w:tcW w:w="1435" w:type="dxa"/>
            <w:gridSpan w:val="2"/>
            <w:tcBorders>
              <w:top w:val="nil"/>
              <w:left w:val="nil"/>
              <w:bottom w:val="nil"/>
            </w:tcBorders>
          </w:tcPr>
          <w:p w:rsidR="00CD4904" w:rsidRPr="00E72E07" w:rsidRDefault="00CD4904" w:rsidP="00E72E07">
            <w:pPr>
              <w:pStyle w:val="SemEspaamento"/>
              <w:jc w:val="center"/>
              <w:rPr>
                <w:rFonts w:ascii="Times New Roman" w:hAnsi="Times New Roman"/>
                <w:color w:val="000000"/>
              </w:rPr>
            </w:pPr>
          </w:p>
        </w:tc>
      </w:tr>
      <w:tr w:rsidR="00CD4904" w:rsidRPr="00E72E07" w:rsidTr="00394F64">
        <w:trPr>
          <w:trHeight w:val="138"/>
        </w:trPr>
        <w:tc>
          <w:tcPr>
            <w:tcW w:w="2376" w:type="dxa"/>
            <w:vMerge/>
            <w:tcBorders>
              <w:right w:val="nil"/>
            </w:tcBorders>
          </w:tcPr>
          <w:p w:rsidR="00CD4904" w:rsidRPr="00E72E07" w:rsidRDefault="00CD4904"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Auxilio no equilíbrio e coordenação</w:t>
            </w:r>
          </w:p>
        </w:tc>
        <w:tc>
          <w:tcPr>
            <w:tcW w:w="546" w:type="dxa"/>
            <w:tcBorders>
              <w:top w:val="nil"/>
              <w:left w:val="nil"/>
              <w:bottom w:val="nil"/>
              <w:right w:val="nil"/>
            </w:tcBorders>
          </w:tcPr>
          <w:p w:rsidR="00CD4904" w:rsidRPr="00E72E07" w:rsidRDefault="00CD4904" w:rsidP="00CD4904">
            <w:pPr>
              <w:pStyle w:val="SemEspaamento"/>
              <w:jc w:val="center"/>
              <w:rPr>
                <w:rFonts w:ascii="Times New Roman" w:hAnsi="Times New Roman"/>
                <w:color w:val="000000"/>
              </w:rPr>
            </w:pPr>
            <w:proofErr w:type="gramStart"/>
            <w:r>
              <w:rPr>
                <w:rFonts w:ascii="Times New Roman" w:hAnsi="Times New Roman"/>
                <w:color w:val="000000"/>
              </w:rPr>
              <w:t>4</w:t>
            </w:r>
            <w:proofErr w:type="gramEnd"/>
          </w:p>
        </w:tc>
        <w:tc>
          <w:tcPr>
            <w:tcW w:w="1458" w:type="dxa"/>
            <w:gridSpan w:val="2"/>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10,26</w:t>
            </w:r>
          </w:p>
        </w:tc>
        <w:tc>
          <w:tcPr>
            <w:tcW w:w="1435" w:type="dxa"/>
            <w:gridSpan w:val="2"/>
            <w:tcBorders>
              <w:top w:val="nil"/>
              <w:left w:val="nil"/>
              <w:bottom w:val="nil"/>
            </w:tcBorders>
          </w:tcPr>
          <w:p w:rsidR="00CD4904" w:rsidRPr="00E72E07" w:rsidRDefault="00CD4904" w:rsidP="00E72E07">
            <w:pPr>
              <w:pStyle w:val="SemEspaamento"/>
              <w:jc w:val="center"/>
              <w:rPr>
                <w:rFonts w:ascii="Times New Roman" w:hAnsi="Times New Roman"/>
                <w:color w:val="000000"/>
              </w:rPr>
            </w:pPr>
            <w:r>
              <w:rPr>
                <w:rFonts w:ascii="Times New Roman" w:hAnsi="Times New Roman"/>
                <w:color w:val="000000"/>
              </w:rPr>
              <w:t>-</w:t>
            </w:r>
          </w:p>
        </w:tc>
      </w:tr>
      <w:tr w:rsidR="00CD4904" w:rsidRPr="00E72E07" w:rsidTr="00394F64">
        <w:trPr>
          <w:trHeight w:val="114"/>
        </w:trPr>
        <w:tc>
          <w:tcPr>
            <w:tcW w:w="2376" w:type="dxa"/>
            <w:vMerge/>
            <w:tcBorders>
              <w:right w:val="nil"/>
            </w:tcBorders>
          </w:tcPr>
          <w:p w:rsidR="00CD4904" w:rsidRPr="00E72E07" w:rsidRDefault="00CD4904" w:rsidP="00E72E07">
            <w:pPr>
              <w:pStyle w:val="SemEspaamento"/>
              <w:jc w:val="center"/>
              <w:rPr>
                <w:rFonts w:ascii="Times New Roman" w:hAnsi="Times New Roman"/>
                <w:color w:val="000000"/>
              </w:rPr>
            </w:pPr>
          </w:p>
        </w:tc>
        <w:tc>
          <w:tcPr>
            <w:tcW w:w="3402" w:type="dxa"/>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Ajuda com escadas e superfícies irregulares</w:t>
            </w:r>
          </w:p>
        </w:tc>
        <w:tc>
          <w:tcPr>
            <w:tcW w:w="546" w:type="dxa"/>
            <w:tcBorders>
              <w:top w:val="nil"/>
              <w:left w:val="nil"/>
              <w:bottom w:val="nil"/>
              <w:right w:val="nil"/>
            </w:tcBorders>
          </w:tcPr>
          <w:p w:rsidR="00CD4904" w:rsidRPr="00E72E07" w:rsidRDefault="00CD4904" w:rsidP="00CD4904">
            <w:pPr>
              <w:pStyle w:val="SemEspaamento"/>
              <w:jc w:val="center"/>
              <w:rPr>
                <w:rFonts w:ascii="Times New Roman" w:hAnsi="Times New Roman"/>
                <w:color w:val="000000"/>
              </w:rPr>
            </w:pPr>
            <w:proofErr w:type="gramStart"/>
            <w:r>
              <w:rPr>
                <w:rFonts w:ascii="Times New Roman" w:hAnsi="Times New Roman"/>
                <w:color w:val="000000"/>
              </w:rPr>
              <w:t>9</w:t>
            </w:r>
            <w:proofErr w:type="gramEnd"/>
          </w:p>
        </w:tc>
        <w:tc>
          <w:tcPr>
            <w:tcW w:w="1458" w:type="dxa"/>
            <w:gridSpan w:val="2"/>
            <w:tcBorders>
              <w:top w:val="nil"/>
              <w:left w:val="nil"/>
              <w:bottom w:val="nil"/>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23,08</w:t>
            </w:r>
          </w:p>
        </w:tc>
        <w:tc>
          <w:tcPr>
            <w:tcW w:w="1435" w:type="dxa"/>
            <w:gridSpan w:val="2"/>
            <w:tcBorders>
              <w:top w:val="nil"/>
              <w:left w:val="nil"/>
              <w:bottom w:val="nil"/>
            </w:tcBorders>
          </w:tcPr>
          <w:p w:rsidR="00CD4904" w:rsidRPr="00E72E07" w:rsidRDefault="00CD4904" w:rsidP="00E72E07">
            <w:pPr>
              <w:pStyle w:val="SemEspaamento"/>
              <w:jc w:val="center"/>
              <w:rPr>
                <w:rFonts w:ascii="Times New Roman" w:hAnsi="Times New Roman"/>
                <w:color w:val="000000"/>
              </w:rPr>
            </w:pPr>
          </w:p>
        </w:tc>
      </w:tr>
      <w:tr w:rsidR="00CD4904" w:rsidRPr="00E72E07" w:rsidTr="00394F64">
        <w:trPr>
          <w:trHeight w:val="127"/>
        </w:trPr>
        <w:tc>
          <w:tcPr>
            <w:tcW w:w="2376" w:type="dxa"/>
            <w:vMerge/>
            <w:tcBorders>
              <w:bottom w:val="single" w:sz="24" w:space="0" w:color="auto"/>
              <w:right w:val="nil"/>
            </w:tcBorders>
          </w:tcPr>
          <w:p w:rsidR="00CD4904" w:rsidRPr="00E72E07" w:rsidRDefault="00CD4904" w:rsidP="00E72E07">
            <w:pPr>
              <w:pStyle w:val="SemEspaamento"/>
              <w:jc w:val="center"/>
              <w:rPr>
                <w:rFonts w:ascii="Times New Roman" w:hAnsi="Times New Roman"/>
                <w:color w:val="000000"/>
              </w:rPr>
            </w:pPr>
          </w:p>
        </w:tc>
        <w:tc>
          <w:tcPr>
            <w:tcW w:w="3402" w:type="dxa"/>
            <w:tcBorders>
              <w:top w:val="nil"/>
              <w:left w:val="nil"/>
              <w:bottom w:val="single" w:sz="24" w:space="0" w:color="auto"/>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Marcha independente</w:t>
            </w:r>
          </w:p>
        </w:tc>
        <w:tc>
          <w:tcPr>
            <w:tcW w:w="546" w:type="dxa"/>
            <w:tcBorders>
              <w:top w:val="nil"/>
              <w:left w:val="nil"/>
              <w:bottom w:val="single" w:sz="24" w:space="0" w:color="auto"/>
              <w:right w:val="nil"/>
            </w:tcBorders>
          </w:tcPr>
          <w:p w:rsidR="00CD4904" w:rsidRPr="00E72E07" w:rsidRDefault="00CD4904" w:rsidP="00CD4904">
            <w:pPr>
              <w:pStyle w:val="SemEspaamento"/>
              <w:jc w:val="center"/>
              <w:rPr>
                <w:rFonts w:ascii="Times New Roman" w:hAnsi="Times New Roman"/>
                <w:color w:val="000000"/>
              </w:rPr>
            </w:pPr>
            <w:r>
              <w:rPr>
                <w:rFonts w:ascii="Times New Roman" w:hAnsi="Times New Roman"/>
                <w:color w:val="000000"/>
              </w:rPr>
              <w:t>12</w:t>
            </w:r>
          </w:p>
        </w:tc>
        <w:tc>
          <w:tcPr>
            <w:tcW w:w="1458" w:type="dxa"/>
            <w:gridSpan w:val="2"/>
            <w:tcBorders>
              <w:top w:val="nil"/>
              <w:left w:val="nil"/>
              <w:bottom w:val="single" w:sz="24" w:space="0" w:color="auto"/>
              <w:right w:val="nil"/>
            </w:tcBorders>
          </w:tcPr>
          <w:p w:rsidR="00CD4904" w:rsidRPr="00E72E07" w:rsidRDefault="00CD4904" w:rsidP="00E72E07">
            <w:pPr>
              <w:pStyle w:val="SemEspaamento"/>
              <w:jc w:val="center"/>
              <w:rPr>
                <w:rFonts w:ascii="Times New Roman" w:hAnsi="Times New Roman"/>
                <w:color w:val="000000"/>
              </w:rPr>
            </w:pPr>
            <w:r w:rsidRPr="00E72E07">
              <w:rPr>
                <w:rFonts w:ascii="Times New Roman" w:hAnsi="Times New Roman"/>
                <w:color w:val="000000"/>
              </w:rPr>
              <w:t>30,77</w:t>
            </w:r>
          </w:p>
        </w:tc>
        <w:tc>
          <w:tcPr>
            <w:tcW w:w="1435" w:type="dxa"/>
            <w:gridSpan w:val="2"/>
            <w:tcBorders>
              <w:top w:val="nil"/>
              <w:left w:val="nil"/>
              <w:bottom w:val="single" w:sz="24" w:space="0" w:color="auto"/>
            </w:tcBorders>
          </w:tcPr>
          <w:p w:rsidR="00CD4904" w:rsidRPr="00E72E07" w:rsidRDefault="00CD4904" w:rsidP="00E72E07">
            <w:pPr>
              <w:pStyle w:val="SemEspaamento"/>
              <w:jc w:val="center"/>
              <w:rPr>
                <w:rFonts w:ascii="Times New Roman" w:hAnsi="Times New Roman"/>
                <w:color w:val="000000"/>
              </w:rPr>
            </w:pPr>
          </w:p>
        </w:tc>
      </w:tr>
    </w:tbl>
    <w:p w:rsidR="00D623B4" w:rsidRDefault="00E72E07" w:rsidP="00E72E07">
      <w:pPr>
        <w:pStyle w:val="SemEspaamento"/>
        <w:jc w:val="both"/>
        <w:rPr>
          <w:rFonts w:ascii="Times New Roman" w:hAnsi="Times New Roman"/>
          <w:color w:val="000000"/>
          <w:sz w:val="20"/>
        </w:rPr>
      </w:pPr>
      <w:r w:rsidRPr="00E72E07">
        <w:rPr>
          <w:rFonts w:ascii="Times New Roman" w:hAnsi="Times New Roman"/>
          <w:color w:val="000000"/>
          <w:sz w:val="20"/>
        </w:rPr>
        <w:t xml:space="preserve">Legenda: MEEM, Mini Exame do Estado Mental; MIF, Medida de Independência Funcional; EEB, Escala de Equilíbrio de Berg; FM, Escala de Desempenho Físico </w:t>
      </w:r>
      <w:proofErr w:type="spellStart"/>
      <w:r w:rsidRPr="00E72E07">
        <w:rPr>
          <w:rFonts w:ascii="Times New Roman" w:hAnsi="Times New Roman"/>
          <w:color w:val="000000"/>
          <w:sz w:val="20"/>
        </w:rPr>
        <w:t>Fugl</w:t>
      </w:r>
      <w:proofErr w:type="spellEnd"/>
      <w:r w:rsidRPr="00E72E07">
        <w:rPr>
          <w:rFonts w:ascii="Times New Roman" w:hAnsi="Times New Roman"/>
          <w:color w:val="000000"/>
          <w:sz w:val="20"/>
        </w:rPr>
        <w:t xml:space="preserve">-Meyer; TUG, </w:t>
      </w:r>
      <w:proofErr w:type="spellStart"/>
      <w:r w:rsidRPr="00E72E07">
        <w:rPr>
          <w:rFonts w:ascii="Times New Roman" w:hAnsi="Times New Roman"/>
          <w:color w:val="000000"/>
          <w:sz w:val="20"/>
        </w:rPr>
        <w:t>Timed</w:t>
      </w:r>
      <w:proofErr w:type="spellEnd"/>
      <w:r w:rsidRPr="00E72E07">
        <w:rPr>
          <w:rFonts w:ascii="Times New Roman" w:hAnsi="Times New Roman"/>
          <w:color w:val="000000"/>
          <w:sz w:val="20"/>
        </w:rPr>
        <w:t xml:space="preserve"> </w:t>
      </w:r>
      <w:proofErr w:type="spellStart"/>
      <w:r w:rsidRPr="00E72E07">
        <w:rPr>
          <w:rFonts w:ascii="Times New Roman" w:hAnsi="Times New Roman"/>
          <w:color w:val="000000"/>
          <w:sz w:val="20"/>
        </w:rPr>
        <w:t>Up</w:t>
      </w:r>
      <w:proofErr w:type="spellEnd"/>
      <w:r w:rsidRPr="00E72E07">
        <w:rPr>
          <w:rFonts w:ascii="Times New Roman" w:hAnsi="Times New Roman"/>
          <w:color w:val="000000"/>
          <w:sz w:val="20"/>
        </w:rPr>
        <w:t xml:space="preserve"> </w:t>
      </w:r>
      <w:proofErr w:type="spellStart"/>
      <w:r w:rsidRPr="00E72E07">
        <w:rPr>
          <w:rFonts w:ascii="Times New Roman" w:hAnsi="Times New Roman"/>
          <w:color w:val="000000"/>
          <w:sz w:val="20"/>
        </w:rPr>
        <w:t>and</w:t>
      </w:r>
      <w:proofErr w:type="spellEnd"/>
      <w:r w:rsidRPr="00E72E07">
        <w:rPr>
          <w:rFonts w:ascii="Times New Roman" w:hAnsi="Times New Roman"/>
          <w:color w:val="000000"/>
          <w:sz w:val="20"/>
        </w:rPr>
        <w:t xml:space="preserve"> </w:t>
      </w:r>
      <w:proofErr w:type="gramStart"/>
      <w:r w:rsidRPr="00E72E07">
        <w:rPr>
          <w:rFonts w:ascii="Times New Roman" w:hAnsi="Times New Roman"/>
          <w:color w:val="000000"/>
          <w:sz w:val="20"/>
        </w:rPr>
        <w:t>Go</w:t>
      </w:r>
      <w:proofErr w:type="gramEnd"/>
      <w:r w:rsidRPr="00E72E07">
        <w:rPr>
          <w:rFonts w:ascii="Times New Roman" w:hAnsi="Times New Roman"/>
          <w:color w:val="000000"/>
          <w:sz w:val="20"/>
        </w:rPr>
        <w:t>; FAC, Escala de Deambulação Funcional.</w:t>
      </w:r>
    </w:p>
    <w:p w:rsidR="00E72E07" w:rsidRDefault="00E72E07" w:rsidP="00E72E07">
      <w:pPr>
        <w:pStyle w:val="SemEspaamento"/>
        <w:jc w:val="both"/>
        <w:rPr>
          <w:rFonts w:ascii="Times New Roman" w:hAnsi="Times New Roman"/>
          <w:color w:val="000000"/>
          <w:sz w:val="20"/>
        </w:rPr>
      </w:pPr>
    </w:p>
    <w:p w:rsidR="00E72E07" w:rsidRPr="00E72E07" w:rsidRDefault="00E72E07" w:rsidP="00E72E07">
      <w:pPr>
        <w:pStyle w:val="SemEspaamento"/>
        <w:jc w:val="both"/>
        <w:rPr>
          <w:rFonts w:ascii="Times New Roman" w:hAnsi="Times New Roman"/>
          <w:color w:val="000000"/>
          <w:sz w:val="20"/>
        </w:rPr>
      </w:pPr>
    </w:p>
    <w:p w:rsidR="00D623B4" w:rsidRPr="00E72E07" w:rsidRDefault="00D623B4" w:rsidP="00D623B4">
      <w:pPr>
        <w:pStyle w:val="SemEspaamento"/>
        <w:spacing w:line="360" w:lineRule="auto"/>
        <w:jc w:val="both"/>
        <w:rPr>
          <w:rFonts w:ascii="Times New Roman" w:hAnsi="Times New Roman"/>
          <w:b/>
        </w:rPr>
      </w:pPr>
      <w:r w:rsidRPr="00E72E07">
        <w:rPr>
          <w:rFonts w:ascii="Times New Roman" w:hAnsi="Times New Roman"/>
          <w:b/>
        </w:rPr>
        <w:t>DISCUSSÃO</w:t>
      </w:r>
    </w:p>
    <w:p w:rsidR="00D623B4" w:rsidRPr="00E72E07" w:rsidRDefault="00D623B4" w:rsidP="00D623B4">
      <w:pPr>
        <w:pStyle w:val="SemEspaamento"/>
        <w:spacing w:line="360" w:lineRule="auto"/>
        <w:jc w:val="both"/>
        <w:rPr>
          <w:rFonts w:ascii="Times New Roman" w:hAnsi="Times New Roman"/>
          <w:b/>
        </w:rPr>
      </w:pPr>
    </w:p>
    <w:p w:rsidR="005E37FB" w:rsidRDefault="00D623B4" w:rsidP="005E37FB">
      <w:pPr>
        <w:pStyle w:val="SemEspaamento"/>
        <w:spacing w:line="360" w:lineRule="auto"/>
        <w:ind w:firstLine="708"/>
        <w:jc w:val="both"/>
        <w:rPr>
          <w:rFonts w:ascii="Times New Roman" w:eastAsia="Times New Roman" w:hAnsi="Times New Roman"/>
          <w:lang w:eastAsia="pt-BR"/>
        </w:rPr>
      </w:pPr>
      <w:r w:rsidRPr="00E72E07">
        <w:rPr>
          <w:rFonts w:ascii="Times New Roman" w:eastAsia="Times New Roman" w:hAnsi="Times New Roman"/>
          <w:lang w:eastAsia="pt-BR"/>
        </w:rPr>
        <w:t xml:space="preserve">Os resultados do presente estudo apontam o acometimento </w:t>
      </w:r>
      <w:proofErr w:type="gramStart"/>
      <w:r w:rsidRPr="00E72E07">
        <w:rPr>
          <w:rFonts w:ascii="Times New Roman" w:eastAsia="Times New Roman" w:hAnsi="Times New Roman"/>
          <w:lang w:eastAsia="pt-BR"/>
        </w:rPr>
        <w:t>do AVE</w:t>
      </w:r>
      <w:proofErr w:type="gramEnd"/>
      <w:r w:rsidRPr="00E72E07">
        <w:rPr>
          <w:rFonts w:ascii="Times New Roman" w:eastAsia="Times New Roman" w:hAnsi="Times New Roman"/>
          <w:lang w:eastAsia="pt-BR"/>
        </w:rPr>
        <w:t xml:space="preserve"> predominante no sexo feminino, com idade média de 68 anos, casados e de raça parda</w:t>
      </w:r>
      <w:r w:rsidR="00C917F3">
        <w:rPr>
          <w:rFonts w:ascii="Times New Roman" w:eastAsia="Times New Roman" w:hAnsi="Times New Roman"/>
          <w:lang w:eastAsia="pt-BR"/>
        </w:rPr>
        <w:t xml:space="preserve"> com a presença de uma amostra </w:t>
      </w:r>
      <w:r w:rsidR="005E37FB">
        <w:rPr>
          <w:rFonts w:ascii="Times New Roman" w:eastAsia="Times New Roman" w:hAnsi="Times New Roman"/>
          <w:lang w:eastAsia="pt-BR"/>
        </w:rPr>
        <w:t xml:space="preserve">heterogênea. </w:t>
      </w:r>
      <w:r w:rsidR="005E37FB" w:rsidRPr="00E72E07">
        <w:rPr>
          <w:rFonts w:ascii="Times New Roman" w:eastAsia="Times New Roman" w:hAnsi="Times New Roman"/>
          <w:lang w:eastAsia="pt-BR"/>
        </w:rPr>
        <w:t xml:space="preserve">O </w:t>
      </w:r>
      <w:r w:rsidR="005E37FB">
        <w:rPr>
          <w:rFonts w:ascii="Times New Roman" w:eastAsia="Times New Roman" w:hAnsi="Times New Roman"/>
          <w:lang w:eastAsia="pt-BR"/>
        </w:rPr>
        <w:t>predomínio</w:t>
      </w:r>
      <w:r w:rsidR="005E37FB" w:rsidRPr="00E72E07">
        <w:rPr>
          <w:rFonts w:ascii="Times New Roman" w:eastAsia="Times New Roman" w:hAnsi="Times New Roman"/>
          <w:lang w:eastAsia="pt-BR"/>
        </w:rPr>
        <w:t xml:space="preserve"> </w:t>
      </w:r>
      <w:proofErr w:type="gramStart"/>
      <w:r w:rsidR="005E37FB" w:rsidRPr="00E72E07">
        <w:rPr>
          <w:rFonts w:ascii="Times New Roman" w:eastAsia="Times New Roman" w:hAnsi="Times New Roman"/>
          <w:lang w:eastAsia="pt-BR"/>
        </w:rPr>
        <w:t>do</w:t>
      </w:r>
      <w:r w:rsidR="005E37FB">
        <w:rPr>
          <w:rFonts w:ascii="Times New Roman" w:eastAsia="Times New Roman" w:hAnsi="Times New Roman"/>
          <w:lang w:eastAsia="pt-BR"/>
        </w:rPr>
        <w:t xml:space="preserve"> AVE</w:t>
      </w:r>
      <w:proofErr w:type="gramEnd"/>
      <w:r w:rsidR="005E37FB">
        <w:rPr>
          <w:rFonts w:ascii="Times New Roman" w:eastAsia="Times New Roman" w:hAnsi="Times New Roman"/>
          <w:lang w:eastAsia="pt-BR"/>
        </w:rPr>
        <w:t xml:space="preserve"> no</w:t>
      </w:r>
      <w:r w:rsidR="005E37FB" w:rsidRPr="00E72E07">
        <w:rPr>
          <w:rFonts w:ascii="Times New Roman" w:eastAsia="Times New Roman" w:hAnsi="Times New Roman"/>
          <w:lang w:eastAsia="pt-BR"/>
        </w:rPr>
        <w:t xml:space="preserve"> sexo feminino </w:t>
      </w:r>
      <w:r w:rsidR="005E37FB">
        <w:rPr>
          <w:rFonts w:ascii="Times New Roman" w:eastAsia="Times New Roman" w:hAnsi="Times New Roman"/>
          <w:lang w:eastAsia="pt-BR"/>
        </w:rPr>
        <w:t xml:space="preserve">corrobora com alguns achados da literatura </w:t>
      </w:r>
      <w:r w:rsidR="005E37FB">
        <w:rPr>
          <w:rFonts w:ascii="Times New Roman" w:eastAsia="Times New Roman" w:hAnsi="Times New Roman"/>
          <w:vertAlign w:val="superscript"/>
          <w:lang w:eastAsia="pt-BR"/>
        </w:rPr>
        <w:t xml:space="preserve">2, </w:t>
      </w:r>
      <w:r w:rsidR="005C478F">
        <w:rPr>
          <w:rFonts w:ascii="Times New Roman" w:eastAsia="Times New Roman" w:hAnsi="Times New Roman"/>
          <w:vertAlign w:val="superscript"/>
          <w:lang w:eastAsia="pt-BR"/>
        </w:rPr>
        <w:t>21</w:t>
      </w:r>
      <w:r w:rsidR="005E37FB">
        <w:rPr>
          <w:rFonts w:ascii="Times New Roman" w:eastAsia="Times New Roman" w:hAnsi="Times New Roman"/>
          <w:lang w:eastAsia="pt-BR"/>
        </w:rPr>
        <w:t xml:space="preserve">. </w:t>
      </w:r>
      <w:r w:rsidR="00B7241E">
        <w:rPr>
          <w:rFonts w:ascii="Times New Roman" w:eastAsia="Times New Roman" w:hAnsi="Times New Roman"/>
          <w:lang w:eastAsia="pt-BR"/>
        </w:rPr>
        <w:t>A mulher apresentam fatores potenciais que aumentam a chance de desenvolver a doença</w:t>
      </w:r>
      <w:r w:rsidR="005E37FB">
        <w:rPr>
          <w:rFonts w:ascii="Times New Roman" w:eastAsia="Times New Roman" w:hAnsi="Times New Roman"/>
          <w:lang w:eastAsia="pt-BR"/>
        </w:rPr>
        <w:t>, como altos níveis de glicemia, o uso de contraceptivos orais, enxaquecas, HAS, DM, dislipid</w:t>
      </w:r>
      <w:r w:rsidR="005810A2">
        <w:rPr>
          <w:rFonts w:ascii="Times New Roman" w:eastAsia="Times New Roman" w:hAnsi="Times New Roman"/>
          <w:lang w:eastAsia="pt-BR"/>
        </w:rPr>
        <w:t xml:space="preserve">emia e doenças tromboembólicas </w:t>
      </w:r>
      <w:r w:rsidR="005810A2">
        <w:rPr>
          <w:rFonts w:ascii="Times New Roman" w:eastAsia="Times New Roman" w:hAnsi="Times New Roman"/>
          <w:vertAlign w:val="superscript"/>
          <w:lang w:eastAsia="pt-BR"/>
        </w:rPr>
        <w:t>21</w:t>
      </w:r>
      <w:r w:rsidR="005E37FB">
        <w:rPr>
          <w:rFonts w:ascii="Times New Roman" w:eastAsia="Times New Roman" w:hAnsi="Times New Roman"/>
          <w:lang w:eastAsia="pt-BR"/>
        </w:rPr>
        <w:t>. Além disso, o predomínio no sexo feminino também pode ser atribuído à faixa etária, haja vista que as mulheres apresentam sobrevida maior.</w:t>
      </w:r>
    </w:p>
    <w:p w:rsidR="00D623B4" w:rsidRPr="00E72E07" w:rsidRDefault="00490D8C" w:rsidP="005E37FB">
      <w:pPr>
        <w:pStyle w:val="SemEspaamento"/>
        <w:spacing w:line="360" w:lineRule="auto"/>
        <w:ind w:firstLine="708"/>
        <w:jc w:val="both"/>
        <w:rPr>
          <w:rFonts w:ascii="Times New Roman" w:eastAsia="Times New Roman" w:hAnsi="Times New Roman"/>
          <w:lang w:eastAsia="pt-BR"/>
        </w:rPr>
      </w:pPr>
      <w:r>
        <w:rPr>
          <w:rFonts w:ascii="Times New Roman" w:eastAsia="Times New Roman" w:hAnsi="Times New Roman"/>
          <w:lang w:eastAsia="pt-BR"/>
        </w:rPr>
        <w:t>Em um estudo</w:t>
      </w:r>
      <w:r w:rsidR="00D623B4" w:rsidRPr="00E72E07">
        <w:rPr>
          <w:rFonts w:ascii="Times New Roman" w:eastAsia="Times New Roman" w:hAnsi="Times New Roman"/>
          <w:lang w:eastAsia="pt-BR"/>
        </w:rPr>
        <w:t xml:space="preserve"> com 180 pacientes com AVC em Fortaleza – CE </w:t>
      </w:r>
      <w:r w:rsidR="00C917F3">
        <w:rPr>
          <w:rFonts w:ascii="Times New Roman" w:eastAsia="Times New Roman" w:hAnsi="Times New Roman"/>
          <w:lang w:eastAsia="pt-BR"/>
        </w:rPr>
        <w:t>foi observado que 53,9% da</w:t>
      </w:r>
      <w:r w:rsidR="00D623B4" w:rsidRPr="00E72E07">
        <w:rPr>
          <w:rFonts w:ascii="Times New Roman" w:eastAsia="Times New Roman" w:hAnsi="Times New Roman"/>
          <w:lang w:eastAsia="pt-BR"/>
        </w:rPr>
        <w:t xml:space="preserve"> amostra era </w:t>
      </w:r>
      <w:proofErr w:type="gramStart"/>
      <w:r w:rsidR="00D623B4" w:rsidRPr="00E72E07">
        <w:rPr>
          <w:rFonts w:ascii="Times New Roman" w:eastAsia="Times New Roman" w:hAnsi="Times New Roman"/>
          <w:lang w:eastAsia="pt-BR"/>
        </w:rPr>
        <w:t>composta</w:t>
      </w:r>
      <w:proofErr w:type="gramEnd"/>
      <w:r w:rsidR="00D623B4" w:rsidRPr="00E72E07">
        <w:rPr>
          <w:rFonts w:ascii="Times New Roman" w:eastAsia="Times New Roman" w:hAnsi="Times New Roman"/>
          <w:lang w:eastAsia="pt-BR"/>
        </w:rPr>
        <w:t xml:space="preserve"> por indivíduos com companheiros </w:t>
      </w:r>
      <w:r w:rsidR="00C917F3">
        <w:rPr>
          <w:rFonts w:ascii="Times New Roman" w:eastAsia="Times New Roman" w:hAnsi="Times New Roman"/>
          <w:lang w:eastAsia="pt-BR"/>
        </w:rPr>
        <w:t>e com idade média de 62,3 anos</w:t>
      </w:r>
      <w:r w:rsidR="00C917F3">
        <w:rPr>
          <w:rFonts w:ascii="Times New Roman" w:eastAsia="Times New Roman" w:hAnsi="Times New Roman"/>
          <w:vertAlign w:val="superscript"/>
          <w:lang w:eastAsia="pt-BR"/>
        </w:rPr>
        <w:t>6</w:t>
      </w:r>
      <w:r w:rsidR="00C917F3">
        <w:rPr>
          <w:rFonts w:ascii="Times New Roman" w:eastAsia="Times New Roman" w:hAnsi="Times New Roman"/>
          <w:lang w:eastAsia="pt-BR"/>
        </w:rPr>
        <w:t xml:space="preserve">. </w:t>
      </w:r>
      <w:r w:rsidR="00C917F3" w:rsidRPr="00A74074">
        <w:rPr>
          <w:rFonts w:ascii="Times New Roman" w:eastAsia="Times New Roman" w:hAnsi="Times New Roman"/>
          <w:lang w:eastAsia="pt-BR"/>
        </w:rPr>
        <w:t xml:space="preserve">Em Natal – RN, em um estudo descritivo com hemiplégicos pós-AVC, observaram a idade </w:t>
      </w:r>
      <w:r w:rsidR="00D623B4" w:rsidRPr="00A74074">
        <w:rPr>
          <w:rFonts w:ascii="Times New Roman" w:eastAsia="Times New Roman" w:hAnsi="Times New Roman"/>
          <w:lang w:eastAsia="pt-BR"/>
        </w:rPr>
        <w:t xml:space="preserve">média de </w:t>
      </w:r>
      <w:r w:rsidR="00D623B4" w:rsidRPr="00A74074">
        <w:rPr>
          <w:rFonts w:ascii="Times New Roman" w:hAnsi="Times New Roman"/>
        </w:rPr>
        <w:t>6</w:t>
      </w:r>
      <w:r w:rsidR="00D623B4" w:rsidRPr="00E72E07">
        <w:rPr>
          <w:rFonts w:ascii="Times New Roman" w:hAnsi="Times New Roman"/>
        </w:rPr>
        <w:t xml:space="preserve">5,9 anos e </w:t>
      </w:r>
      <w:r w:rsidR="00D623B4" w:rsidRPr="00E72E07">
        <w:rPr>
          <w:rFonts w:ascii="Times New Roman" w:eastAsia="Times New Roman" w:hAnsi="Times New Roman"/>
          <w:lang w:eastAsia="pt-BR"/>
        </w:rPr>
        <w:t>50% da amostra composta por pacientes casados</w:t>
      </w:r>
      <w:r w:rsidR="00A74074">
        <w:rPr>
          <w:rFonts w:ascii="Times New Roman" w:eastAsia="Times New Roman" w:hAnsi="Times New Roman"/>
          <w:vertAlign w:val="superscript"/>
          <w:lang w:eastAsia="pt-BR"/>
        </w:rPr>
        <w:t>1</w:t>
      </w:r>
      <w:r w:rsidR="00D623B4" w:rsidRPr="00E72E07">
        <w:rPr>
          <w:rFonts w:ascii="Times New Roman" w:eastAsia="Times New Roman" w:hAnsi="Times New Roman"/>
          <w:lang w:eastAsia="pt-BR"/>
        </w:rPr>
        <w:t xml:space="preserve"> corroborando com os resultados encontrados no presente estudo. </w:t>
      </w:r>
      <w:r w:rsidR="00C917F3" w:rsidRPr="00AD20CB">
        <w:rPr>
          <w:rFonts w:ascii="Times New Roman" w:eastAsia="Times New Roman" w:hAnsi="Times New Roman"/>
          <w:lang w:eastAsia="pt-BR"/>
        </w:rPr>
        <w:t xml:space="preserve">Dentre 5.834 óbitos analisados em um estudo no Paraná, observou-se que </w:t>
      </w:r>
      <w:r w:rsidR="00D623B4" w:rsidRPr="00AD20CB">
        <w:rPr>
          <w:rFonts w:ascii="Times New Roman" w:eastAsia="Times New Roman" w:hAnsi="Times New Roman"/>
          <w:lang w:eastAsia="pt-BR"/>
        </w:rPr>
        <w:t>76,9%</w:t>
      </w:r>
      <w:r w:rsidR="00C917F3" w:rsidRPr="00AD20CB">
        <w:rPr>
          <w:rFonts w:ascii="Times New Roman" w:eastAsia="Times New Roman" w:hAnsi="Times New Roman"/>
          <w:lang w:eastAsia="pt-BR"/>
        </w:rPr>
        <w:t xml:space="preserve"> dos mesmos</w:t>
      </w:r>
      <w:r w:rsidR="00D623B4" w:rsidRPr="00AD20CB">
        <w:rPr>
          <w:rFonts w:ascii="Times New Roman" w:eastAsia="Times New Roman" w:hAnsi="Times New Roman"/>
          <w:lang w:eastAsia="pt-BR"/>
        </w:rPr>
        <w:t xml:space="preserve"> ocorreram na faixa etária </w:t>
      </w:r>
      <w:r w:rsidR="00C917F3" w:rsidRPr="00AD20CB">
        <w:rPr>
          <w:rFonts w:ascii="Times New Roman" w:eastAsia="Times New Roman" w:hAnsi="Times New Roman"/>
          <w:lang w:eastAsia="pt-BR"/>
        </w:rPr>
        <w:t>igual ou superior a</w:t>
      </w:r>
      <w:r w:rsidR="00D623B4" w:rsidRPr="00AD20CB">
        <w:rPr>
          <w:rFonts w:ascii="Times New Roman" w:eastAsia="Times New Roman" w:hAnsi="Times New Roman"/>
          <w:lang w:eastAsia="pt-BR"/>
        </w:rPr>
        <w:t xml:space="preserve"> 65 </w:t>
      </w:r>
      <w:r w:rsidR="00C917F3" w:rsidRPr="00AD20CB">
        <w:rPr>
          <w:rFonts w:ascii="Times New Roman" w:eastAsia="Times New Roman" w:hAnsi="Times New Roman"/>
          <w:lang w:eastAsia="pt-BR"/>
        </w:rPr>
        <w:t>anos</w:t>
      </w:r>
      <w:r w:rsidR="00AD20CB" w:rsidRPr="00AD20CB">
        <w:rPr>
          <w:rFonts w:ascii="Times New Roman" w:eastAsia="Times New Roman" w:hAnsi="Times New Roman"/>
          <w:vertAlign w:val="superscript"/>
          <w:lang w:eastAsia="pt-BR"/>
        </w:rPr>
        <w:t>22</w:t>
      </w:r>
      <w:r w:rsidR="00C917F3">
        <w:rPr>
          <w:rFonts w:ascii="Times New Roman" w:eastAsia="Times New Roman" w:hAnsi="Times New Roman"/>
          <w:lang w:eastAsia="pt-BR"/>
        </w:rPr>
        <w:t>.</w:t>
      </w:r>
      <w:r w:rsidR="005E37FB">
        <w:rPr>
          <w:rFonts w:ascii="Times New Roman" w:eastAsia="Times New Roman" w:hAnsi="Times New Roman"/>
          <w:lang w:eastAsia="pt-BR"/>
        </w:rPr>
        <w:t xml:space="preserve"> </w:t>
      </w:r>
      <w:r w:rsidR="00C917F3">
        <w:rPr>
          <w:rFonts w:ascii="Times New Roman" w:eastAsia="Times New Roman" w:hAnsi="Times New Roman"/>
          <w:lang w:eastAsia="pt-BR"/>
        </w:rPr>
        <w:t>O</w:t>
      </w:r>
      <w:r w:rsidR="00D623B4" w:rsidRPr="00E72E07">
        <w:rPr>
          <w:rFonts w:ascii="Times New Roman" w:eastAsia="Times New Roman" w:hAnsi="Times New Roman"/>
          <w:lang w:eastAsia="pt-BR"/>
        </w:rPr>
        <w:t xml:space="preserve"> aumento progressivo do acometimento </w:t>
      </w:r>
      <w:proofErr w:type="gramStart"/>
      <w:r w:rsidR="00D623B4" w:rsidRPr="00E72E07">
        <w:rPr>
          <w:rFonts w:ascii="Times New Roman" w:eastAsia="Times New Roman" w:hAnsi="Times New Roman"/>
          <w:lang w:eastAsia="pt-BR"/>
        </w:rPr>
        <w:t>do AVE</w:t>
      </w:r>
      <w:proofErr w:type="gramEnd"/>
      <w:r w:rsidR="00D623B4" w:rsidRPr="00E72E07">
        <w:rPr>
          <w:rFonts w:ascii="Times New Roman" w:eastAsia="Times New Roman" w:hAnsi="Times New Roman"/>
          <w:lang w:eastAsia="pt-BR"/>
        </w:rPr>
        <w:t xml:space="preserve"> de acordo com a idade </w:t>
      </w:r>
      <w:r w:rsidR="00D623B4" w:rsidRPr="00E72E07">
        <w:rPr>
          <w:rFonts w:ascii="Times New Roman" w:hAnsi="Times New Roman"/>
        </w:rPr>
        <w:t xml:space="preserve">é esperado uma vez que a idade é o principal fator de </w:t>
      </w:r>
      <w:r w:rsidR="00D623B4" w:rsidRPr="00E72E07">
        <w:rPr>
          <w:rFonts w:ascii="Times New Roman" w:hAnsi="Times New Roman"/>
        </w:rPr>
        <w:lastRenderedPageBreak/>
        <w:t xml:space="preserve">risco não modificável, reforçando ainda a necessidade de prevenção e controle de fatores de risco para doença cerebrovascular </w:t>
      </w:r>
      <w:r w:rsidR="00BB362E" w:rsidRPr="005E37FB">
        <w:rPr>
          <w:rFonts w:ascii="Times New Roman" w:hAnsi="Times New Roman"/>
          <w:vertAlign w:val="superscript"/>
        </w:rPr>
        <w:t>3</w:t>
      </w:r>
      <w:r w:rsidR="00D623B4" w:rsidRPr="00E72E07">
        <w:rPr>
          <w:rFonts w:ascii="Times New Roman" w:hAnsi="Times New Roman"/>
        </w:rPr>
        <w:t>.</w:t>
      </w:r>
      <w:r w:rsidR="00C917F3">
        <w:rPr>
          <w:rFonts w:ascii="Times New Roman" w:hAnsi="Times New Roman"/>
        </w:rPr>
        <w:t xml:space="preserve"> </w:t>
      </w:r>
    </w:p>
    <w:p w:rsidR="00D623B4" w:rsidRPr="00844DFC" w:rsidRDefault="00D623B4" w:rsidP="00844DFC">
      <w:pPr>
        <w:pStyle w:val="SemEspaamento"/>
        <w:spacing w:line="360" w:lineRule="auto"/>
        <w:ind w:firstLine="708"/>
        <w:jc w:val="both"/>
        <w:rPr>
          <w:rFonts w:ascii="Times New Roman" w:hAnsi="Times New Roman"/>
        </w:rPr>
      </w:pPr>
      <w:r w:rsidRPr="00E72E07">
        <w:rPr>
          <w:rFonts w:ascii="Times New Roman" w:eastAsia="Times New Roman" w:hAnsi="Times New Roman"/>
          <w:lang w:eastAsia="pt-BR"/>
        </w:rPr>
        <w:t xml:space="preserve">No presente estudo, observou-se </w:t>
      </w:r>
      <w:r w:rsidR="005E37FB">
        <w:rPr>
          <w:rFonts w:ascii="Times New Roman" w:eastAsia="Times New Roman" w:hAnsi="Times New Roman"/>
          <w:lang w:eastAsia="pt-BR"/>
        </w:rPr>
        <w:t>predominância de</w:t>
      </w:r>
      <w:r w:rsidRPr="00E72E07">
        <w:rPr>
          <w:rFonts w:ascii="Times New Roman" w:eastAsia="Times New Roman" w:hAnsi="Times New Roman"/>
          <w:lang w:eastAsia="pt-BR"/>
        </w:rPr>
        <w:t xml:space="preserve"> indivíduos analfabetos, residentes e</w:t>
      </w:r>
      <w:r w:rsidR="005E37FB">
        <w:rPr>
          <w:rFonts w:ascii="Times New Roman" w:eastAsia="Times New Roman" w:hAnsi="Times New Roman"/>
          <w:lang w:eastAsia="pt-BR"/>
        </w:rPr>
        <w:t>m</w:t>
      </w:r>
      <w:r w:rsidRPr="00E72E07">
        <w:rPr>
          <w:rFonts w:ascii="Times New Roman" w:eastAsia="Times New Roman" w:hAnsi="Times New Roman"/>
          <w:lang w:eastAsia="pt-BR"/>
        </w:rPr>
        <w:t xml:space="preserve"> casa própria e </w:t>
      </w:r>
      <w:r w:rsidR="005E37FB">
        <w:rPr>
          <w:rFonts w:ascii="Times New Roman" w:eastAsia="Times New Roman" w:hAnsi="Times New Roman"/>
          <w:lang w:eastAsia="pt-BR"/>
        </w:rPr>
        <w:t xml:space="preserve">que </w:t>
      </w:r>
      <w:r w:rsidRPr="00E72E07">
        <w:rPr>
          <w:rFonts w:ascii="Times New Roman" w:eastAsia="Times New Roman" w:hAnsi="Times New Roman"/>
          <w:lang w:eastAsia="pt-BR"/>
        </w:rPr>
        <w:t xml:space="preserve">após </w:t>
      </w:r>
      <w:proofErr w:type="gramStart"/>
      <w:r w:rsidRPr="00E72E07">
        <w:rPr>
          <w:rFonts w:ascii="Times New Roman" w:eastAsia="Times New Roman" w:hAnsi="Times New Roman"/>
          <w:lang w:eastAsia="pt-BR"/>
        </w:rPr>
        <w:t>o AVE</w:t>
      </w:r>
      <w:proofErr w:type="gramEnd"/>
      <w:r w:rsidRPr="00E72E07">
        <w:rPr>
          <w:rFonts w:ascii="Times New Roman" w:eastAsia="Times New Roman" w:hAnsi="Times New Roman"/>
          <w:lang w:eastAsia="pt-BR"/>
        </w:rPr>
        <w:t xml:space="preserve"> a principal fonte de renda deixou de ser o trabalho assalariado </w:t>
      </w:r>
      <w:r w:rsidR="005E37FB">
        <w:rPr>
          <w:rFonts w:ascii="Times New Roman" w:eastAsia="Times New Roman" w:hAnsi="Times New Roman"/>
          <w:lang w:eastAsia="pt-BR"/>
        </w:rPr>
        <w:t>sendo</w:t>
      </w:r>
      <w:r w:rsidRPr="00E72E07">
        <w:rPr>
          <w:rFonts w:ascii="Times New Roman" w:eastAsia="Times New Roman" w:hAnsi="Times New Roman"/>
          <w:lang w:eastAsia="pt-BR"/>
        </w:rPr>
        <w:t xml:space="preserve"> substituída pela aposentadoria. </w:t>
      </w:r>
      <w:r w:rsidR="00A74074">
        <w:rPr>
          <w:rFonts w:ascii="Times New Roman" w:eastAsia="Times New Roman" w:hAnsi="Times New Roman"/>
          <w:lang w:eastAsia="pt-BR"/>
        </w:rPr>
        <w:t xml:space="preserve">Cavalcante </w:t>
      </w:r>
      <w:proofErr w:type="gramStart"/>
      <w:r w:rsidR="00A74074">
        <w:rPr>
          <w:rFonts w:ascii="Times New Roman" w:eastAsia="Times New Roman" w:hAnsi="Times New Roman"/>
          <w:lang w:eastAsia="pt-BR"/>
        </w:rPr>
        <w:t>et</w:t>
      </w:r>
      <w:proofErr w:type="gramEnd"/>
      <w:r w:rsidR="00A74074">
        <w:rPr>
          <w:rFonts w:ascii="Times New Roman" w:eastAsia="Times New Roman" w:hAnsi="Times New Roman"/>
          <w:lang w:eastAsia="pt-BR"/>
        </w:rPr>
        <w:t xml:space="preserve"> al. (2010)</w:t>
      </w:r>
      <w:r w:rsidR="005E37FB">
        <w:rPr>
          <w:rFonts w:ascii="Times New Roman" w:eastAsia="Times New Roman" w:hAnsi="Times New Roman"/>
          <w:lang w:eastAsia="pt-BR"/>
        </w:rPr>
        <w:t xml:space="preserve"> </w:t>
      </w:r>
      <w:r w:rsidR="00844DFC">
        <w:rPr>
          <w:rFonts w:ascii="Times New Roman" w:eastAsia="Times New Roman" w:hAnsi="Times New Roman"/>
          <w:lang w:eastAsia="pt-BR"/>
        </w:rPr>
        <w:t xml:space="preserve">encontraram </w:t>
      </w:r>
      <w:r w:rsidRPr="00E72E07">
        <w:rPr>
          <w:rFonts w:ascii="Times New Roman" w:eastAsia="Times New Roman" w:hAnsi="Times New Roman"/>
          <w:lang w:eastAsia="pt-BR"/>
        </w:rPr>
        <w:t xml:space="preserve">em sua amostra </w:t>
      </w:r>
      <w:r w:rsidR="00844DFC">
        <w:rPr>
          <w:rFonts w:ascii="Times New Roman" w:eastAsia="Times New Roman" w:hAnsi="Times New Roman"/>
          <w:lang w:eastAsia="pt-BR"/>
        </w:rPr>
        <w:t xml:space="preserve">de pacientes com AVE, </w:t>
      </w:r>
      <w:r w:rsidRPr="00E72E07">
        <w:rPr>
          <w:rFonts w:ascii="Times New Roman" w:eastAsia="Times New Roman" w:hAnsi="Times New Roman"/>
          <w:lang w:eastAsia="pt-BR"/>
        </w:rPr>
        <w:t>uma escolaridade média d</w:t>
      </w:r>
      <w:r w:rsidR="00844DFC">
        <w:rPr>
          <w:rFonts w:ascii="Times New Roman" w:eastAsia="Times New Roman" w:hAnsi="Times New Roman"/>
          <w:lang w:eastAsia="pt-BR"/>
        </w:rPr>
        <w:t>e 4,3 anos e renda de 513 reais</w:t>
      </w:r>
      <w:r w:rsidR="00A74074">
        <w:rPr>
          <w:rFonts w:ascii="Times New Roman" w:eastAsia="Times New Roman" w:hAnsi="Times New Roman"/>
          <w:vertAlign w:val="superscript"/>
          <w:lang w:eastAsia="pt-BR"/>
        </w:rPr>
        <w:t>6</w:t>
      </w:r>
      <w:r w:rsidR="00844DFC">
        <w:rPr>
          <w:rFonts w:ascii="Times New Roman" w:eastAsia="Times New Roman" w:hAnsi="Times New Roman"/>
          <w:lang w:eastAsia="pt-BR"/>
        </w:rPr>
        <w:t>. Enquanto isso,</w:t>
      </w:r>
      <w:r w:rsidRPr="00E72E07">
        <w:rPr>
          <w:rFonts w:ascii="Times New Roman" w:eastAsia="Times New Roman" w:hAnsi="Times New Roman"/>
          <w:lang w:eastAsia="pt-BR"/>
        </w:rPr>
        <w:t xml:space="preserve"> no município de Vassouras – RJ 61% da amostra </w:t>
      </w:r>
      <w:r w:rsidR="00844DFC">
        <w:rPr>
          <w:rFonts w:ascii="Times New Roman" w:eastAsia="Times New Roman" w:hAnsi="Times New Roman"/>
          <w:lang w:eastAsia="pt-BR"/>
        </w:rPr>
        <w:t xml:space="preserve">com AVC avaliada </w:t>
      </w:r>
      <w:r w:rsidRPr="00E72E07">
        <w:rPr>
          <w:rFonts w:ascii="Times New Roman" w:eastAsia="Times New Roman" w:hAnsi="Times New Roman"/>
          <w:lang w:eastAsia="pt-BR"/>
        </w:rPr>
        <w:t>era composta aposentados, 70% residentes em zona urbana, 46% com grau de escolaridade até a 4º série e 26% de analfabetos</w:t>
      </w:r>
      <w:r w:rsidR="00844DFC" w:rsidRPr="00844DFC">
        <w:rPr>
          <w:rFonts w:ascii="Times New Roman" w:eastAsia="Times New Roman" w:hAnsi="Times New Roman"/>
          <w:vertAlign w:val="superscript"/>
          <w:lang w:eastAsia="pt-BR"/>
        </w:rPr>
        <w:t>4</w:t>
      </w:r>
      <w:r w:rsidRPr="00E72E07">
        <w:rPr>
          <w:rFonts w:ascii="Times New Roman" w:eastAsia="Times New Roman" w:hAnsi="Times New Roman"/>
          <w:lang w:eastAsia="pt-BR"/>
        </w:rPr>
        <w:t xml:space="preserve">. </w:t>
      </w:r>
      <w:r w:rsidR="00844DFC">
        <w:rPr>
          <w:rFonts w:ascii="Times New Roman" w:eastAsia="Times New Roman" w:hAnsi="Times New Roman"/>
          <w:lang w:eastAsia="pt-BR"/>
        </w:rPr>
        <w:t xml:space="preserve">Dessa forma, a </w:t>
      </w:r>
      <w:r w:rsidRPr="00E72E07">
        <w:rPr>
          <w:rFonts w:ascii="Times New Roman" w:hAnsi="Times New Roman"/>
        </w:rPr>
        <w:t>alta porcentagem de indivíduos com baixos níveis de escolaridade</w:t>
      </w:r>
      <w:r w:rsidR="00844DFC">
        <w:rPr>
          <w:rFonts w:ascii="Times New Roman" w:hAnsi="Times New Roman"/>
        </w:rPr>
        <w:t xml:space="preserve"> encontrados</w:t>
      </w:r>
      <w:r w:rsidRPr="00E72E07">
        <w:rPr>
          <w:rFonts w:ascii="Times New Roman" w:hAnsi="Times New Roman"/>
        </w:rPr>
        <w:t>, chamando atenção para</w:t>
      </w:r>
      <w:r w:rsidR="00844DFC">
        <w:rPr>
          <w:rFonts w:ascii="Times New Roman" w:hAnsi="Times New Roman"/>
        </w:rPr>
        <w:t xml:space="preserve"> o número de analfabetos reflete nas condições e incidência da doença já que </w:t>
      </w:r>
      <w:r w:rsidRPr="00844DFC">
        <w:rPr>
          <w:rFonts w:ascii="Times New Roman" w:hAnsi="Times New Roman"/>
        </w:rPr>
        <w:t xml:space="preserve">a baixa quantidade de informações sobre os meios de prevenção, os hábitos e comportamentos de risco á saúde fazem com que o segmento populacional de baixa escolaridade esteja mais </w:t>
      </w:r>
      <w:r w:rsidR="00C20B98">
        <w:rPr>
          <w:rFonts w:ascii="Times New Roman" w:hAnsi="Times New Roman"/>
        </w:rPr>
        <w:t>suscetível</w:t>
      </w:r>
      <w:r w:rsidRPr="00844DFC">
        <w:rPr>
          <w:rFonts w:ascii="Times New Roman" w:hAnsi="Times New Roman"/>
        </w:rPr>
        <w:t xml:space="preserve"> </w:t>
      </w:r>
      <w:proofErr w:type="gramStart"/>
      <w:r w:rsidRPr="00844DFC">
        <w:rPr>
          <w:rFonts w:ascii="Times New Roman" w:hAnsi="Times New Roman"/>
        </w:rPr>
        <w:t>ao AVE</w:t>
      </w:r>
      <w:proofErr w:type="gramEnd"/>
      <w:r w:rsidRPr="00844DFC">
        <w:rPr>
          <w:rFonts w:ascii="Times New Roman" w:hAnsi="Times New Roman"/>
        </w:rPr>
        <w:t>.</w:t>
      </w:r>
    </w:p>
    <w:p w:rsidR="005A5DCA" w:rsidRDefault="00D623B4" w:rsidP="005A5DCA">
      <w:pPr>
        <w:pStyle w:val="SemEspaamento"/>
        <w:spacing w:line="360" w:lineRule="auto"/>
        <w:ind w:firstLine="708"/>
        <w:jc w:val="both"/>
        <w:rPr>
          <w:rFonts w:ascii="Times New Roman" w:hAnsi="Times New Roman"/>
        </w:rPr>
      </w:pPr>
      <w:r w:rsidRPr="00E72E07">
        <w:rPr>
          <w:rFonts w:ascii="Times New Roman" w:hAnsi="Times New Roman"/>
        </w:rPr>
        <w:t>A raça parda foi a mais referida no estudo, entretanto esse resultado não corrobora com os dados encontrados na literatura onde a raça negra é mais descrita co</w:t>
      </w:r>
      <w:r w:rsidR="00844DFC">
        <w:rPr>
          <w:rFonts w:ascii="Times New Roman" w:hAnsi="Times New Roman"/>
        </w:rPr>
        <w:t>mo maior prevalência para o AVE</w:t>
      </w:r>
      <w:r w:rsidR="00BB362E" w:rsidRPr="00844DFC">
        <w:rPr>
          <w:rFonts w:ascii="Times New Roman" w:hAnsi="Times New Roman"/>
          <w:vertAlign w:val="superscript"/>
        </w:rPr>
        <w:t>3</w:t>
      </w:r>
      <w:r w:rsidRPr="00E72E07">
        <w:rPr>
          <w:rFonts w:ascii="Times New Roman" w:hAnsi="Times New Roman"/>
        </w:rPr>
        <w:t xml:space="preserve">. Essa divergência encontrada pode ser justificada pelos diferentes modos de avaliação da raça, já que no estudo em questão utilizou-se a avaliação </w:t>
      </w:r>
      <w:proofErr w:type="spellStart"/>
      <w:proofErr w:type="gramStart"/>
      <w:r w:rsidRPr="00E72E07">
        <w:rPr>
          <w:rFonts w:ascii="Times New Roman" w:hAnsi="Times New Roman"/>
        </w:rPr>
        <w:t>auto-referida</w:t>
      </w:r>
      <w:proofErr w:type="spellEnd"/>
      <w:proofErr w:type="gramEnd"/>
      <w:r w:rsidRPr="00E72E07">
        <w:rPr>
          <w:rFonts w:ascii="Times New Roman" w:hAnsi="Times New Roman"/>
        </w:rPr>
        <w:t xml:space="preserve">. </w:t>
      </w:r>
      <w:r w:rsidRPr="00E72E07">
        <w:rPr>
          <w:rFonts w:ascii="Times New Roman" w:eastAsia="Times New Roman" w:hAnsi="Times New Roman"/>
          <w:lang w:eastAsia="pt-BR"/>
        </w:rPr>
        <w:t xml:space="preserve">A investigação das características socioeconômicas, como a raça, nível educacional e renda permitem observar que a condição social associada com a falta de informações, sobre prevenção e fatores de risco à saúde deixam os indivíduos mais propensos a um evento de AVE. </w:t>
      </w:r>
    </w:p>
    <w:p w:rsidR="00DA778C" w:rsidRDefault="00D623B4" w:rsidP="005C478F">
      <w:pPr>
        <w:pStyle w:val="SemEspaamento"/>
        <w:spacing w:line="360" w:lineRule="auto"/>
        <w:ind w:firstLine="708"/>
        <w:jc w:val="both"/>
        <w:rPr>
          <w:rFonts w:ascii="Times New Roman" w:hAnsi="Times New Roman"/>
        </w:rPr>
      </w:pPr>
      <w:r w:rsidRPr="00E72E07">
        <w:rPr>
          <w:rFonts w:ascii="Times New Roman" w:eastAsia="Times New Roman" w:hAnsi="Times New Roman"/>
          <w:lang w:eastAsia="pt-BR"/>
        </w:rPr>
        <w:t xml:space="preserve">O acometimento </w:t>
      </w:r>
      <w:proofErr w:type="gramStart"/>
      <w:r w:rsidRPr="00E72E07">
        <w:rPr>
          <w:rFonts w:ascii="Times New Roman" w:eastAsia="Times New Roman" w:hAnsi="Times New Roman"/>
          <w:lang w:eastAsia="pt-BR"/>
        </w:rPr>
        <w:t>do AVE</w:t>
      </w:r>
      <w:proofErr w:type="gramEnd"/>
      <w:r w:rsidRPr="00E72E07">
        <w:rPr>
          <w:rFonts w:ascii="Times New Roman" w:eastAsia="Times New Roman" w:hAnsi="Times New Roman"/>
          <w:lang w:eastAsia="pt-BR"/>
        </w:rPr>
        <w:t xml:space="preserve"> </w:t>
      </w:r>
      <w:r w:rsidR="009F32CD">
        <w:rPr>
          <w:rFonts w:ascii="Times New Roman" w:eastAsia="Times New Roman" w:hAnsi="Times New Roman"/>
          <w:lang w:eastAsia="pt-BR"/>
        </w:rPr>
        <w:t xml:space="preserve">foi maior </w:t>
      </w:r>
      <w:r w:rsidRPr="00E72E07">
        <w:rPr>
          <w:rFonts w:ascii="Times New Roman" w:eastAsia="Times New Roman" w:hAnsi="Times New Roman"/>
          <w:lang w:eastAsia="pt-BR"/>
        </w:rPr>
        <w:t>no hemisfério cerebral esquerdo</w:t>
      </w:r>
      <w:r w:rsidR="009F32CD">
        <w:rPr>
          <w:rFonts w:ascii="Times New Roman" w:eastAsia="Times New Roman" w:hAnsi="Times New Roman"/>
          <w:lang w:eastAsia="pt-BR"/>
        </w:rPr>
        <w:t xml:space="preserve">, predominando a partir da forma isquêmica. </w:t>
      </w:r>
      <w:r w:rsidRPr="00E72E07">
        <w:rPr>
          <w:rFonts w:ascii="Times New Roman" w:eastAsia="Times New Roman" w:hAnsi="Times New Roman"/>
          <w:lang w:eastAsia="pt-BR"/>
        </w:rPr>
        <w:t xml:space="preserve">Os </w:t>
      </w:r>
      <w:r w:rsidR="009F32CD">
        <w:rPr>
          <w:rFonts w:ascii="Times New Roman" w:eastAsia="Times New Roman" w:hAnsi="Times New Roman"/>
          <w:lang w:eastAsia="pt-BR"/>
        </w:rPr>
        <w:t>achados</w:t>
      </w:r>
      <w:r w:rsidRPr="00E72E07">
        <w:rPr>
          <w:rFonts w:ascii="Times New Roman" w:eastAsia="Times New Roman" w:hAnsi="Times New Roman"/>
          <w:lang w:eastAsia="pt-BR"/>
        </w:rPr>
        <w:t xml:space="preserve"> encontrados na literatura remetem a um maior acometimento </w:t>
      </w:r>
      <w:proofErr w:type="gramStart"/>
      <w:r w:rsidRPr="00E72E07">
        <w:rPr>
          <w:rFonts w:ascii="Times New Roman" w:eastAsia="Times New Roman" w:hAnsi="Times New Roman"/>
          <w:lang w:eastAsia="pt-BR"/>
        </w:rPr>
        <w:t>do AVE</w:t>
      </w:r>
      <w:proofErr w:type="gramEnd"/>
      <w:r w:rsidRPr="00E72E07">
        <w:rPr>
          <w:rFonts w:ascii="Times New Roman" w:eastAsia="Times New Roman" w:hAnsi="Times New Roman"/>
          <w:lang w:eastAsia="pt-BR"/>
        </w:rPr>
        <w:t xml:space="preserve"> isquêmico. Estudos como Pereira </w:t>
      </w:r>
      <w:proofErr w:type="gramStart"/>
      <w:r w:rsidRPr="00E72E07">
        <w:rPr>
          <w:rFonts w:ascii="Times New Roman" w:eastAsia="Times New Roman" w:hAnsi="Times New Roman"/>
          <w:lang w:eastAsia="pt-BR"/>
        </w:rPr>
        <w:t>et</w:t>
      </w:r>
      <w:proofErr w:type="gramEnd"/>
      <w:r w:rsidRPr="00E72E07">
        <w:rPr>
          <w:rFonts w:ascii="Times New Roman" w:eastAsia="Times New Roman" w:hAnsi="Times New Roman"/>
          <w:lang w:eastAsia="pt-BR"/>
        </w:rPr>
        <w:t xml:space="preserve"> al. (2009) encontraram 62,2% de casos isquêmicos</w:t>
      </w:r>
      <w:r w:rsidR="009F32CD" w:rsidRPr="009F32CD">
        <w:rPr>
          <w:rFonts w:ascii="Times New Roman" w:eastAsia="Times New Roman" w:hAnsi="Times New Roman"/>
          <w:vertAlign w:val="superscript"/>
          <w:lang w:eastAsia="pt-BR"/>
        </w:rPr>
        <w:t>3</w:t>
      </w:r>
      <w:r w:rsidRPr="00E72E07">
        <w:rPr>
          <w:rFonts w:ascii="Times New Roman" w:eastAsia="Times New Roman" w:hAnsi="Times New Roman"/>
          <w:lang w:eastAsia="pt-BR"/>
        </w:rPr>
        <w:t>, Costa et al. (2011)</w:t>
      </w:r>
      <w:r w:rsidRPr="00E72E07">
        <w:rPr>
          <w:rFonts w:ascii="Times New Roman" w:eastAsia="Times New Roman" w:hAnsi="Times New Roman"/>
          <w:vertAlign w:val="superscript"/>
          <w:lang w:eastAsia="pt-BR"/>
        </w:rPr>
        <w:t xml:space="preserve"> </w:t>
      </w:r>
      <w:r w:rsidRPr="00E72E07">
        <w:rPr>
          <w:rFonts w:ascii="Times New Roman" w:eastAsia="Times New Roman" w:hAnsi="Times New Roman"/>
          <w:lang w:eastAsia="pt-BR"/>
        </w:rPr>
        <w:t xml:space="preserve"> observaram 90% de casos isquêmicos e </w:t>
      </w:r>
      <w:r w:rsidR="00C20B98">
        <w:rPr>
          <w:rFonts w:ascii="Times New Roman" w:eastAsia="Times New Roman" w:hAnsi="Times New Roman"/>
          <w:lang w:eastAsia="pt-BR"/>
        </w:rPr>
        <w:t xml:space="preserve">Pires et al (2004) evidenciaram </w:t>
      </w:r>
      <w:r w:rsidRPr="00E72E07">
        <w:rPr>
          <w:rFonts w:ascii="Times New Roman" w:eastAsia="Times New Roman" w:hAnsi="Times New Roman"/>
          <w:lang w:eastAsia="pt-BR"/>
        </w:rPr>
        <w:t xml:space="preserve">52,5% de acometimento no hemisfério cerebral </w:t>
      </w:r>
      <w:r w:rsidRPr="00C20B98">
        <w:rPr>
          <w:rFonts w:ascii="Times New Roman" w:eastAsia="Times New Roman" w:hAnsi="Times New Roman"/>
          <w:lang w:eastAsia="pt-BR"/>
        </w:rPr>
        <w:t>direito</w:t>
      </w:r>
      <w:r w:rsidR="009F32CD" w:rsidRPr="00C20B98">
        <w:rPr>
          <w:rFonts w:ascii="Times New Roman" w:eastAsia="Times New Roman" w:hAnsi="Times New Roman"/>
          <w:vertAlign w:val="superscript"/>
          <w:lang w:eastAsia="pt-BR"/>
        </w:rPr>
        <w:t>2</w:t>
      </w:r>
      <w:r w:rsidR="00C20B98" w:rsidRPr="00C20B98">
        <w:rPr>
          <w:rFonts w:ascii="Times New Roman" w:eastAsia="Times New Roman" w:hAnsi="Times New Roman"/>
          <w:lang w:eastAsia="pt-BR"/>
        </w:rPr>
        <w:t>. E</w:t>
      </w:r>
      <w:r w:rsidR="009F32CD" w:rsidRPr="00C20B98">
        <w:rPr>
          <w:rFonts w:ascii="Times New Roman" w:eastAsia="Times New Roman" w:hAnsi="Times New Roman"/>
          <w:lang w:eastAsia="pt-BR"/>
        </w:rPr>
        <w:t>m um estudo realizado na cidade de Rivera no Uruguai com 114 indivíduos com AVC observou-se que 75,4%</w:t>
      </w:r>
      <w:r w:rsidR="009F32CD" w:rsidRPr="00E72E07">
        <w:rPr>
          <w:rFonts w:ascii="Times New Roman" w:eastAsia="Times New Roman" w:hAnsi="Times New Roman"/>
          <w:lang w:eastAsia="pt-BR"/>
        </w:rPr>
        <w:t xml:space="preserve"> dos casos aconteciam na forma isquêmic</w:t>
      </w:r>
      <w:r w:rsidR="009F32CD" w:rsidRPr="00A74074">
        <w:rPr>
          <w:rFonts w:ascii="Times New Roman" w:eastAsia="Times New Roman" w:hAnsi="Times New Roman"/>
          <w:lang w:eastAsia="pt-BR"/>
        </w:rPr>
        <w:t>a</w:t>
      </w:r>
      <w:r w:rsidR="00BB362E" w:rsidRPr="00A74074">
        <w:rPr>
          <w:rFonts w:ascii="Times New Roman" w:eastAsia="Times New Roman" w:hAnsi="Times New Roman"/>
          <w:vertAlign w:val="superscript"/>
          <w:lang w:eastAsia="pt-BR"/>
        </w:rPr>
        <w:t>2</w:t>
      </w:r>
      <w:r w:rsidR="00AD20CB">
        <w:rPr>
          <w:rFonts w:ascii="Times New Roman" w:eastAsia="Times New Roman" w:hAnsi="Times New Roman"/>
          <w:vertAlign w:val="superscript"/>
          <w:lang w:eastAsia="pt-BR"/>
        </w:rPr>
        <w:t>3</w:t>
      </w:r>
      <w:r w:rsidRPr="00E72E07">
        <w:rPr>
          <w:rFonts w:ascii="Times New Roman" w:eastAsia="Times New Roman" w:hAnsi="Times New Roman"/>
          <w:lang w:eastAsia="pt-BR"/>
        </w:rPr>
        <w:t xml:space="preserve">. </w:t>
      </w:r>
      <w:r w:rsidRPr="00E72E07">
        <w:rPr>
          <w:rFonts w:ascii="Times New Roman" w:hAnsi="Times New Roman"/>
        </w:rPr>
        <w:t xml:space="preserve">A maior abrangência </w:t>
      </w:r>
      <w:proofErr w:type="gramStart"/>
      <w:r w:rsidRPr="00E72E07">
        <w:rPr>
          <w:rFonts w:ascii="Times New Roman" w:hAnsi="Times New Roman"/>
        </w:rPr>
        <w:t>do AVE</w:t>
      </w:r>
      <w:proofErr w:type="gramEnd"/>
      <w:r w:rsidRPr="00E72E07">
        <w:rPr>
          <w:rFonts w:ascii="Times New Roman" w:hAnsi="Times New Roman"/>
        </w:rPr>
        <w:t xml:space="preserve"> isquêmico encontrada no estudo está intimamente associada</w:t>
      </w:r>
      <w:r w:rsidR="00DA778C">
        <w:rPr>
          <w:rFonts w:ascii="Times New Roman" w:hAnsi="Times New Roman"/>
        </w:rPr>
        <w:t xml:space="preserve"> e correlacionada</w:t>
      </w:r>
      <w:r w:rsidRPr="00E72E07">
        <w:rPr>
          <w:rFonts w:ascii="Times New Roman" w:hAnsi="Times New Roman"/>
        </w:rPr>
        <w:t xml:space="preserve"> com a prevalência dos principais fatores de </w:t>
      </w:r>
      <w:r w:rsidR="00DA778C">
        <w:rPr>
          <w:rFonts w:ascii="Times New Roman" w:hAnsi="Times New Roman"/>
        </w:rPr>
        <w:t>risco. Desse modo, o imp</w:t>
      </w:r>
      <w:r w:rsidR="005C478F">
        <w:rPr>
          <w:rFonts w:ascii="Times New Roman" w:hAnsi="Times New Roman"/>
        </w:rPr>
        <w:t xml:space="preserve">acto da lesão isquêmica, sua </w:t>
      </w:r>
      <w:r w:rsidR="00DA778C">
        <w:rPr>
          <w:rFonts w:ascii="Times New Roman" w:hAnsi="Times New Roman"/>
        </w:rPr>
        <w:t>gravidade, localização e extensão são extremamente relevantes para o quadro de morbi-mortalidade</w:t>
      </w:r>
      <w:r w:rsidR="00AD20CB">
        <w:rPr>
          <w:rFonts w:ascii="Times New Roman" w:hAnsi="Times New Roman"/>
          <w:vertAlign w:val="superscript"/>
        </w:rPr>
        <w:t>24</w:t>
      </w:r>
      <w:r w:rsidR="005C478F">
        <w:rPr>
          <w:rFonts w:ascii="Times New Roman" w:hAnsi="Times New Roman"/>
        </w:rPr>
        <w:t>.</w:t>
      </w:r>
    </w:p>
    <w:p w:rsidR="00D623B4" w:rsidRDefault="00D623B4" w:rsidP="00CF0B34">
      <w:pPr>
        <w:pStyle w:val="SemEspaamento"/>
        <w:spacing w:line="360" w:lineRule="auto"/>
        <w:ind w:firstLine="708"/>
        <w:jc w:val="both"/>
        <w:rPr>
          <w:rFonts w:ascii="Times New Roman" w:hAnsi="Times New Roman"/>
        </w:rPr>
      </w:pPr>
      <w:r w:rsidRPr="00E72E07">
        <w:rPr>
          <w:rFonts w:ascii="Times New Roman" w:eastAsia="Times New Roman" w:hAnsi="Times New Roman"/>
          <w:lang w:eastAsia="pt-BR"/>
        </w:rPr>
        <w:t xml:space="preserve">Em relação ao tempo de lesão houve uma média de 6,7 anos </w:t>
      </w:r>
      <w:r w:rsidR="005C478F">
        <w:rPr>
          <w:rFonts w:ascii="Times New Roman" w:eastAsia="Times New Roman" w:hAnsi="Times New Roman"/>
          <w:lang w:eastAsia="pt-BR"/>
        </w:rPr>
        <w:t xml:space="preserve">onde </w:t>
      </w:r>
      <w:r w:rsidRPr="00E72E07">
        <w:rPr>
          <w:rFonts w:ascii="Times New Roman" w:eastAsia="Times New Roman" w:hAnsi="Times New Roman"/>
          <w:lang w:eastAsia="pt-BR"/>
        </w:rPr>
        <w:t>97,4% d</w:t>
      </w:r>
      <w:r w:rsidR="005C478F">
        <w:rPr>
          <w:rFonts w:ascii="Times New Roman" w:eastAsia="Times New Roman" w:hAnsi="Times New Roman"/>
          <w:lang w:eastAsia="pt-BR"/>
        </w:rPr>
        <w:t>os</w:t>
      </w:r>
      <w:r w:rsidRPr="00E72E07">
        <w:rPr>
          <w:rFonts w:ascii="Times New Roman" w:eastAsia="Times New Roman" w:hAnsi="Times New Roman"/>
          <w:lang w:eastAsia="pt-BR"/>
        </w:rPr>
        <w:t xml:space="preserve"> indivíduos</w:t>
      </w:r>
      <w:r w:rsidR="005C478F">
        <w:rPr>
          <w:rFonts w:ascii="Times New Roman" w:eastAsia="Times New Roman" w:hAnsi="Times New Roman"/>
          <w:lang w:eastAsia="pt-BR"/>
        </w:rPr>
        <w:t xml:space="preserve"> avaliados tinham </w:t>
      </w:r>
      <w:r w:rsidRPr="00E72E07">
        <w:rPr>
          <w:rFonts w:ascii="Times New Roman" w:eastAsia="Times New Roman" w:hAnsi="Times New Roman"/>
          <w:lang w:eastAsia="pt-BR"/>
        </w:rPr>
        <w:t xml:space="preserve">algum tipo de fator de risco para </w:t>
      </w:r>
      <w:proofErr w:type="gramStart"/>
      <w:r w:rsidRPr="00E72E07">
        <w:rPr>
          <w:rFonts w:ascii="Times New Roman" w:eastAsia="Times New Roman" w:hAnsi="Times New Roman"/>
          <w:lang w:eastAsia="pt-BR"/>
        </w:rPr>
        <w:t>o AVE</w:t>
      </w:r>
      <w:proofErr w:type="gramEnd"/>
      <w:r w:rsidRPr="00E72E07">
        <w:rPr>
          <w:rFonts w:ascii="Times New Roman" w:eastAsia="Times New Roman" w:hAnsi="Times New Roman"/>
          <w:lang w:eastAsia="pt-BR"/>
        </w:rPr>
        <w:t xml:space="preserve">. </w:t>
      </w:r>
      <w:r w:rsidR="005C478F">
        <w:rPr>
          <w:rFonts w:ascii="Times New Roman" w:eastAsia="Times New Roman" w:hAnsi="Times New Roman"/>
          <w:lang w:eastAsia="pt-BR"/>
        </w:rPr>
        <w:t>Diversos</w:t>
      </w:r>
      <w:r w:rsidRPr="00E72E07">
        <w:rPr>
          <w:rFonts w:ascii="Times New Roman" w:eastAsia="Times New Roman" w:hAnsi="Times New Roman"/>
          <w:lang w:eastAsia="pt-BR"/>
        </w:rPr>
        <w:t xml:space="preserve"> estudos relacionados aos principais fatores de risco para </w:t>
      </w:r>
      <w:proofErr w:type="gramStart"/>
      <w:r w:rsidRPr="00E72E07">
        <w:rPr>
          <w:rFonts w:ascii="Times New Roman" w:eastAsia="Times New Roman" w:hAnsi="Times New Roman"/>
          <w:lang w:eastAsia="pt-BR"/>
        </w:rPr>
        <w:t>o AVE</w:t>
      </w:r>
      <w:proofErr w:type="gramEnd"/>
      <w:r w:rsidRPr="00E72E07">
        <w:rPr>
          <w:rFonts w:ascii="Times New Roman" w:eastAsia="Times New Roman" w:hAnsi="Times New Roman"/>
          <w:lang w:eastAsia="pt-BR"/>
        </w:rPr>
        <w:t xml:space="preserve"> corroboram com os resultados encontrados no presente estudo.</w:t>
      </w:r>
      <w:r w:rsidRPr="00E72E07">
        <w:rPr>
          <w:rFonts w:ascii="Times New Roman" w:eastAsia="Times New Roman" w:hAnsi="Times New Roman"/>
          <w:color w:val="FF0000"/>
          <w:lang w:eastAsia="pt-BR"/>
        </w:rPr>
        <w:t xml:space="preserve"> </w:t>
      </w:r>
      <w:r w:rsidRPr="00E72E07">
        <w:rPr>
          <w:rFonts w:ascii="Times New Roman" w:hAnsi="Times New Roman"/>
        </w:rPr>
        <w:t xml:space="preserve">Segundo </w:t>
      </w:r>
      <w:proofErr w:type="spellStart"/>
      <w:r w:rsidRPr="00E72E07">
        <w:rPr>
          <w:rFonts w:ascii="Times New Roman" w:hAnsi="Times New Roman"/>
        </w:rPr>
        <w:t>Rosamond</w:t>
      </w:r>
      <w:proofErr w:type="spellEnd"/>
      <w:r w:rsidRPr="00E72E07">
        <w:rPr>
          <w:rFonts w:ascii="Times New Roman" w:hAnsi="Times New Roman"/>
        </w:rPr>
        <w:t xml:space="preserve"> </w:t>
      </w:r>
      <w:proofErr w:type="gramStart"/>
      <w:r w:rsidRPr="00E72E07">
        <w:rPr>
          <w:rFonts w:ascii="Times New Roman" w:hAnsi="Times New Roman"/>
        </w:rPr>
        <w:t>et</w:t>
      </w:r>
      <w:proofErr w:type="gramEnd"/>
      <w:r w:rsidRPr="00E72E07">
        <w:rPr>
          <w:rFonts w:ascii="Times New Roman" w:hAnsi="Times New Roman"/>
        </w:rPr>
        <w:t xml:space="preserve"> al. (2007)</w:t>
      </w:r>
      <w:r w:rsidR="005C478F">
        <w:rPr>
          <w:rFonts w:ascii="Times New Roman" w:hAnsi="Times New Roman"/>
        </w:rPr>
        <w:t>,</w:t>
      </w:r>
      <w:r w:rsidRPr="00E72E07">
        <w:rPr>
          <w:rFonts w:ascii="Times New Roman" w:hAnsi="Times New Roman"/>
        </w:rPr>
        <w:t>os principais fatores de risco que podem aumentar a propensão ao AVE são os altos perfis lipídicos, diabetes mellitus, sobrepeso e obesidade, além do tabagismo e sedentarismo</w:t>
      </w:r>
      <w:r w:rsidR="005C478F" w:rsidRPr="005C478F">
        <w:rPr>
          <w:rFonts w:ascii="Times New Roman" w:hAnsi="Times New Roman"/>
          <w:vertAlign w:val="superscript"/>
        </w:rPr>
        <w:t>9</w:t>
      </w:r>
      <w:r w:rsidRPr="00E72E07">
        <w:rPr>
          <w:rFonts w:ascii="Times New Roman" w:hAnsi="Times New Roman"/>
        </w:rPr>
        <w:t>.</w:t>
      </w:r>
      <w:r w:rsidRPr="00E72E07">
        <w:rPr>
          <w:rFonts w:ascii="Times New Roman" w:eastAsia="Times New Roman" w:hAnsi="Times New Roman"/>
          <w:lang w:eastAsia="pt-BR"/>
        </w:rPr>
        <w:t xml:space="preserve"> </w:t>
      </w:r>
      <w:r w:rsidR="005C478F">
        <w:rPr>
          <w:rFonts w:ascii="Times New Roman" w:eastAsia="Times New Roman" w:hAnsi="Times New Roman"/>
          <w:lang w:eastAsia="pt-BR"/>
        </w:rPr>
        <w:t xml:space="preserve">Os estudos mostram a elevada incidência da HAS bem como sua significativa potencialidade para ocasionar </w:t>
      </w:r>
      <w:proofErr w:type="gramStart"/>
      <w:r w:rsidR="005C478F">
        <w:rPr>
          <w:rFonts w:ascii="Times New Roman" w:eastAsia="Times New Roman" w:hAnsi="Times New Roman"/>
          <w:lang w:eastAsia="pt-BR"/>
        </w:rPr>
        <w:t xml:space="preserve">o AVE </w:t>
      </w:r>
      <w:r w:rsidR="005C478F" w:rsidRPr="005C478F">
        <w:rPr>
          <w:rFonts w:ascii="Times New Roman" w:eastAsia="Times New Roman" w:hAnsi="Times New Roman"/>
          <w:vertAlign w:val="superscript"/>
          <w:lang w:eastAsia="pt-BR"/>
        </w:rPr>
        <w:t>5,2</w:t>
      </w:r>
      <w:proofErr w:type="gramEnd"/>
      <w:r w:rsidRPr="00E72E07">
        <w:rPr>
          <w:rFonts w:ascii="Times New Roman" w:eastAsia="Times New Roman" w:hAnsi="Times New Roman"/>
          <w:lang w:eastAsia="pt-BR"/>
        </w:rPr>
        <w:t xml:space="preserve">. </w:t>
      </w:r>
      <w:r w:rsidR="00CF0B34">
        <w:rPr>
          <w:rFonts w:ascii="Times New Roman" w:hAnsi="Times New Roman"/>
        </w:rPr>
        <w:t xml:space="preserve">A HAS é considerada como um dos principais fatores de risco modificáveis para </w:t>
      </w:r>
      <w:proofErr w:type="gramStart"/>
      <w:r w:rsidR="00CF0B34">
        <w:rPr>
          <w:rFonts w:ascii="Times New Roman" w:hAnsi="Times New Roman"/>
        </w:rPr>
        <w:t xml:space="preserve">o AVE e um dos mais importantes problemas de saúde pública, gerando maior </w:t>
      </w:r>
      <w:r w:rsidR="00CF0B34">
        <w:rPr>
          <w:rFonts w:ascii="Times New Roman" w:hAnsi="Times New Roman"/>
        </w:rPr>
        <w:lastRenderedPageBreak/>
        <w:t>propensão para o desenvolvimento de doenças cerebrovasculares</w:t>
      </w:r>
      <w:r w:rsidR="00AD20CB">
        <w:rPr>
          <w:rFonts w:ascii="Times New Roman" w:hAnsi="Times New Roman"/>
          <w:vertAlign w:val="superscript"/>
        </w:rPr>
        <w:t>25</w:t>
      </w:r>
      <w:proofErr w:type="gramEnd"/>
      <w:r w:rsidR="005810A2">
        <w:rPr>
          <w:rFonts w:ascii="Times New Roman" w:hAnsi="Times New Roman"/>
        </w:rPr>
        <w:t>.</w:t>
      </w:r>
      <w:r w:rsidR="00CF0B34">
        <w:rPr>
          <w:rFonts w:ascii="Times New Roman" w:hAnsi="Times New Roman"/>
        </w:rPr>
        <w:t xml:space="preserve"> Sendo o principal </w:t>
      </w:r>
      <w:r w:rsidRPr="00E72E07">
        <w:rPr>
          <w:rFonts w:ascii="Times New Roman" w:hAnsi="Times New Roman"/>
        </w:rPr>
        <w:t xml:space="preserve">fator de risco para o acometimento </w:t>
      </w:r>
      <w:proofErr w:type="gramStart"/>
      <w:r w:rsidRPr="00E72E07">
        <w:rPr>
          <w:rFonts w:ascii="Times New Roman" w:hAnsi="Times New Roman"/>
        </w:rPr>
        <w:t>do AVE</w:t>
      </w:r>
      <w:proofErr w:type="gramEnd"/>
      <w:r w:rsidR="00CF0B34">
        <w:rPr>
          <w:rFonts w:ascii="Times New Roman" w:hAnsi="Times New Roman"/>
        </w:rPr>
        <w:t xml:space="preserve"> encontrado no</w:t>
      </w:r>
      <w:r w:rsidR="005C478F">
        <w:rPr>
          <w:rFonts w:ascii="Times New Roman" w:hAnsi="Times New Roman"/>
        </w:rPr>
        <w:t xml:space="preserve"> estudo</w:t>
      </w:r>
      <w:r w:rsidR="00CF0B34">
        <w:rPr>
          <w:rFonts w:ascii="Times New Roman" w:hAnsi="Times New Roman"/>
        </w:rPr>
        <w:t>, e</w:t>
      </w:r>
      <w:r w:rsidRPr="00E72E07">
        <w:rPr>
          <w:rFonts w:ascii="Times New Roman" w:hAnsi="Times New Roman"/>
        </w:rPr>
        <w:t>ssa alta prevalência pode ser justificada já que a idade elevada é um dos fatores para a presença da HAS</w:t>
      </w:r>
      <w:r w:rsidR="005C478F">
        <w:rPr>
          <w:rFonts w:ascii="Times New Roman" w:hAnsi="Times New Roman"/>
        </w:rPr>
        <w:t>.</w:t>
      </w:r>
      <w:r w:rsidR="00CF0B34">
        <w:rPr>
          <w:rFonts w:ascii="Times New Roman" w:hAnsi="Times New Roman"/>
        </w:rPr>
        <w:t xml:space="preserve"> </w:t>
      </w:r>
      <w:r w:rsidRPr="00E72E07">
        <w:rPr>
          <w:rFonts w:ascii="Times New Roman" w:hAnsi="Times New Roman"/>
          <w:color w:val="000000"/>
        </w:rPr>
        <w:t xml:space="preserve">A DM aparece como o segundo principal fator de risco do estudo e é um elemento determinante representando um grave risco para o desenvolvimento </w:t>
      </w:r>
      <w:proofErr w:type="gramStart"/>
      <w:r w:rsidR="00CF0B34">
        <w:rPr>
          <w:rFonts w:ascii="Times New Roman" w:hAnsi="Times New Roman"/>
          <w:color w:val="000000"/>
        </w:rPr>
        <w:t>do AVE</w:t>
      </w:r>
      <w:proofErr w:type="gramEnd"/>
      <w:r w:rsidRPr="00E72E07">
        <w:rPr>
          <w:rFonts w:ascii="Times New Roman" w:hAnsi="Times New Roman"/>
          <w:color w:val="000000"/>
        </w:rPr>
        <w:t>, gerando alterações nos vasos, desordem hemodinâmica e formaç</w:t>
      </w:r>
      <w:r w:rsidR="009D3640">
        <w:rPr>
          <w:rFonts w:ascii="Times New Roman" w:hAnsi="Times New Roman"/>
          <w:color w:val="000000"/>
        </w:rPr>
        <w:t>ão de placas ateroscleróticas</w:t>
      </w:r>
      <w:r w:rsidRPr="00E72E07">
        <w:rPr>
          <w:rFonts w:ascii="Times New Roman" w:hAnsi="Times New Roman"/>
          <w:color w:val="000000"/>
        </w:rPr>
        <w:t xml:space="preserve">. </w:t>
      </w:r>
      <w:r w:rsidRPr="00E72E07">
        <w:rPr>
          <w:rFonts w:ascii="Times New Roman" w:hAnsi="Times New Roman"/>
        </w:rPr>
        <w:t xml:space="preserve">Dessa forma, </w:t>
      </w:r>
      <w:r w:rsidRPr="00E72E07">
        <w:rPr>
          <w:rFonts w:ascii="Times New Roman" w:eastAsia="Times New Roman" w:hAnsi="Times New Roman"/>
          <w:lang w:eastAsia="pt-BR"/>
        </w:rPr>
        <w:t>c</w:t>
      </w:r>
      <w:r w:rsidRPr="00E72E07">
        <w:rPr>
          <w:rFonts w:ascii="Times New Roman" w:hAnsi="Times New Roman"/>
        </w:rPr>
        <w:t xml:space="preserve">omo </w:t>
      </w:r>
      <w:proofErr w:type="gramStart"/>
      <w:r w:rsidRPr="00E72E07">
        <w:rPr>
          <w:rFonts w:ascii="Times New Roman" w:hAnsi="Times New Roman"/>
        </w:rPr>
        <w:t>o AVE</w:t>
      </w:r>
      <w:proofErr w:type="gramEnd"/>
      <w:r w:rsidRPr="00E72E07">
        <w:rPr>
          <w:rFonts w:ascii="Times New Roman" w:hAnsi="Times New Roman"/>
        </w:rPr>
        <w:t xml:space="preserve"> é um processo patológico de origem multifatorial, a ação de vários fatores de risco pode ser o elo para ocasionar as mais di</w:t>
      </w:r>
      <w:r w:rsidR="00CF0B34">
        <w:rPr>
          <w:rFonts w:ascii="Times New Roman" w:hAnsi="Times New Roman"/>
        </w:rPr>
        <w:t xml:space="preserve">versas </w:t>
      </w:r>
      <w:proofErr w:type="spellStart"/>
      <w:r w:rsidR="00CF0B34">
        <w:rPr>
          <w:rFonts w:ascii="Times New Roman" w:hAnsi="Times New Roman"/>
        </w:rPr>
        <w:t>comorbidades</w:t>
      </w:r>
      <w:proofErr w:type="spellEnd"/>
      <w:r w:rsidR="00CF0B34">
        <w:rPr>
          <w:rFonts w:ascii="Times New Roman" w:hAnsi="Times New Roman"/>
        </w:rPr>
        <w:t xml:space="preserve"> e sequelas</w:t>
      </w:r>
      <w:r w:rsidR="009D3640" w:rsidRPr="00CF0B34">
        <w:rPr>
          <w:rFonts w:ascii="Times New Roman" w:hAnsi="Times New Roman"/>
          <w:vertAlign w:val="superscript"/>
        </w:rPr>
        <w:t>2</w:t>
      </w:r>
      <w:r w:rsidRPr="00E72E07">
        <w:rPr>
          <w:rFonts w:ascii="Times New Roman" w:hAnsi="Times New Roman"/>
        </w:rPr>
        <w:t>.</w:t>
      </w:r>
    </w:p>
    <w:p w:rsidR="00B114CA" w:rsidRDefault="001374DE" w:rsidP="008033D7">
      <w:pPr>
        <w:pStyle w:val="SemEspaamento"/>
        <w:spacing w:line="360" w:lineRule="auto"/>
        <w:ind w:firstLine="708"/>
        <w:jc w:val="both"/>
        <w:rPr>
          <w:rFonts w:ascii="Times New Roman" w:hAnsi="Times New Roman"/>
        </w:rPr>
      </w:pPr>
      <w:r>
        <w:rPr>
          <w:rFonts w:ascii="Times New Roman" w:hAnsi="Times New Roman"/>
        </w:rPr>
        <w:t>Ainda se sabe pouco sobre como, o tempo e em que extensão as modificações nos principais fatores de risco podem refletir de forma sign</w:t>
      </w:r>
      <w:r w:rsidR="005810A2">
        <w:rPr>
          <w:rFonts w:ascii="Times New Roman" w:hAnsi="Times New Roman"/>
        </w:rPr>
        <w:t>ificativa na mortalidade do AVE</w:t>
      </w:r>
      <w:r w:rsidR="00AD20CB">
        <w:rPr>
          <w:rFonts w:ascii="Times New Roman" w:hAnsi="Times New Roman"/>
          <w:vertAlign w:val="superscript"/>
        </w:rPr>
        <w:t>26</w:t>
      </w:r>
      <w:r w:rsidR="005810A2">
        <w:rPr>
          <w:rFonts w:ascii="Times New Roman" w:hAnsi="Times New Roman"/>
        </w:rPr>
        <w:t xml:space="preserve">. </w:t>
      </w:r>
      <w:r>
        <w:rPr>
          <w:rFonts w:ascii="Times New Roman" w:hAnsi="Times New Roman"/>
        </w:rPr>
        <w:t>Porém, a identificação e o controle dos fatores de risco são medidas essenciais</w:t>
      </w:r>
      <w:r w:rsidR="005465C3">
        <w:rPr>
          <w:rFonts w:ascii="Times New Roman" w:hAnsi="Times New Roman"/>
        </w:rPr>
        <w:t xml:space="preserve"> e prioritárias</w:t>
      </w:r>
      <w:r>
        <w:rPr>
          <w:rFonts w:ascii="Times New Roman" w:hAnsi="Times New Roman"/>
        </w:rPr>
        <w:t xml:space="preserve"> para a prevenção primária na </w:t>
      </w:r>
      <w:r w:rsidRPr="005465C3">
        <w:rPr>
          <w:rFonts w:ascii="Times New Roman" w:hAnsi="Times New Roman"/>
        </w:rPr>
        <w:t xml:space="preserve">população, </w:t>
      </w:r>
      <w:r w:rsidR="005465C3" w:rsidRPr="005465C3">
        <w:rPr>
          <w:rFonts w:ascii="Times New Roman" w:hAnsi="Times New Roman"/>
        </w:rPr>
        <w:t xml:space="preserve">pois permitem uma redução significativa da incidência e recidiva do AVC, por meio de mudança nos hábitos de vida, </w:t>
      </w:r>
      <w:r w:rsidRPr="005465C3">
        <w:rPr>
          <w:rFonts w:ascii="Times New Roman" w:hAnsi="Times New Roman"/>
        </w:rPr>
        <w:t xml:space="preserve">além de ser uma obrigação para os envolvidos com os cuidados em saúde. Caracterizar determinantes de recorrência e mortalidade após </w:t>
      </w:r>
      <w:proofErr w:type="gramStart"/>
      <w:r w:rsidRPr="005465C3">
        <w:rPr>
          <w:rFonts w:ascii="Times New Roman" w:hAnsi="Times New Roman"/>
        </w:rPr>
        <w:t>o AVE</w:t>
      </w:r>
      <w:proofErr w:type="gramEnd"/>
      <w:r w:rsidRPr="005465C3">
        <w:rPr>
          <w:rFonts w:ascii="Times New Roman" w:hAnsi="Times New Roman"/>
        </w:rPr>
        <w:t xml:space="preserve"> reflete a prevenção secundária haja vista que a recorrência</w:t>
      </w:r>
      <w:r w:rsidRPr="008033D7">
        <w:rPr>
          <w:rFonts w:ascii="Times New Roman" w:hAnsi="Times New Roman"/>
        </w:rPr>
        <w:t xml:space="preserve"> do AVE ainda é a maio</w:t>
      </w:r>
      <w:r w:rsidR="005810A2">
        <w:rPr>
          <w:rFonts w:ascii="Times New Roman" w:hAnsi="Times New Roman"/>
        </w:rPr>
        <w:t>r ameaça para os sobreviventes</w:t>
      </w:r>
      <w:r w:rsidR="00AD20CB">
        <w:rPr>
          <w:rFonts w:ascii="Times New Roman" w:hAnsi="Times New Roman"/>
          <w:vertAlign w:val="superscript"/>
        </w:rPr>
        <w:t>21,26</w:t>
      </w:r>
      <w:r w:rsidR="005810A2">
        <w:rPr>
          <w:rFonts w:ascii="Times New Roman" w:hAnsi="Times New Roman"/>
        </w:rPr>
        <w:t xml:space="preserve">. </w:t>
      </w:r>
      <w:r w:rsidR="008033D7" w:rsidRPr="008033D7">
        <w:rPr>
          <w:rFonts w:ascii="Times New Roman" w:hAnsi="Times New Roman"/>
        </w:rPr>
        <w:t xml:space="preserve">As consequências, em longo prazo, após </w:t>
      </w:r>
      <w:proofErr w:type="gramStart"/>
      <w:r w:rsidR="008033D7" w:rsidRPr="008033D7">
        <w:rPr>
          <w:rFonts w:ascii="Times New Roman" w:hAnsi="Times New Roman"/>
        </w:rPr>
        <w:t>o AVE</w:t>
      </w:r>
      <w:proofErr w:type="gramEnd"/>
      <w:r w:rsidR="008033D7" w:rsidRPr="008033D7">
        <w:rPr>
          <w:rFonts w:ascii="Times New Roman" w:hAnsi="Times New Roman"/>
        </w:rPr>
        <w:t xml:space="preserve"> vão depender do tamanho e localização da lesão, além da capacidade de </w:t>
      </w:r>
      <w:proofErr w:type="spellStart"/>
      <w:r w:rsidR="008033D7" w:rsidRPr="008033D7">
        <w:rPr>
          <w:rFonts w:ascii="Times New Roman" w:hAnsi="Times New Roman"/>
        </w:rPr>
        <w:t>neuroplasticidade</w:t>
      </w:r>
      <w:proofErr w:type="spellEnd"/>
      <w:r w:rsidR="008033D7" w:rsidRPr="008033D7">
        <w:rPr>
          <w:rFonts w:ascii="Times New Roman" w:hAnsi="Times New Roman"/>
        </w:rPr>
        <w:t xml:space="preserve"> cerebral. A funcionalidade e motricidade após </w:t>
      </w:r>
      <w:proofErr w:type="gramStart"/>
      <w:r w:rsidR="008033D7" w:rsidRPr="008033D7">
        <w:rPr>
          <w:rFonts w:ascii="Times New Roman" w:hAnsi="Times New Roman"/>
        </w:rPr>
        <w:t>o AVE</w:t>
      </w:r>
      <w:proofErr w:type="gramEnd"/>
      <w:r w:rsidR="008033D7" w:rsidRPr="008033D7">
        <w:rPr>
          <w:rFonts w:ascii="Times New Roman" w:hAnsi="Times New Roman"/>
        </w:rPr>
        <w:t xml:space="preserve"> ficam completamente afetados e as incapacidades e sequelas geradas acarretam limitações funcionais e grande dependência</w:t>
      </w:r>
      <w:r w:rsidR="00AD20CB">
        <w:rPr>
          <w:rFonts w:ascii="Times New Roman" w:hAnsi="Times New Roman"/>
          <w:vertAlign w:val="superscript"/>
        </w:rPr>
        <w:t>27</w:t>
      </w:r>
      <w:r w:rsidR="004F3923">
        <w:rPr>
          <w:rFonts w:ascii="Times New Roman" w:hAnsi="Times New Roman"/>
        </w:rPr>
        <w:t>.</w:t>
      </w:r>
      <w:r w:rsidR="008033D7" w:rsidRPr="008033D7">
        <w:rPr>
          <w:rFonts w:ascii="Times New Roman" w:hAnsi="Times New Roman"/>
        </w:rPr>
        <w:t xml:space="preserve"> </w:t>
      </w:r>
    </w:p>
    <w:p w:rsidR="00D623B4" w:rsidRPr="00C20B98" w:rsidRDefault="00D623B4" w:rsidP="00722FDF">
      <w:pPr>
        <w:pStyle w:val="SemEspaamento"/>
        <w:spacing w:line="360" w:lineRule="auto"/>
        <w:ind w:firstLine="708"/>
        <w:jc w:val="both"/>
        <w:rPr>
          <w:rFonts w:ascii="Times New Roman" w:eastAsia="Times New Roman" w:hAnsi="Times New Roman"/>
          <w:color w:val="000000" w:themeColor="text1"/>
          <w:lang w:eastAsia="pt-BR"/>
        </w:rPr>
      </w:pPr>
      <w:r w:rsidRPr="00E72E07">
        <w:rPr>
          <w:rFonts w:ascii="Times New Roman" w:hAnsi="Times New Roman"/>
        </w:rPr>
        <w:t>A pontuação do MEE</w:t>
      </w:r>
      <w:r w:rsidR="00002B6E">
        <w:rPr>
          <w:rFonts w:ascii="Times New Roman" w:hAnsi="Times New Roman"/>
        </w:rPr>
        <w:t>M</w:t>
      </w:r>
      <w:r w:rsidRPr="00E72E07">
        <w:rPr>
          <w:rFonts w:ascii="Times New Roman" w:hAnsi="Times New Roman"/>
        </w:rPr>
        <w:t xml:space="preserve"> </w:t>
      </w:r>
      <w:r w:rsidR="00002B6E">
        <w:rPr>
          <w:rFonts w:ascii="Times New Roman" w:hAnsi="Times New Roman"/>
        </w:rPr>
        <w:t>evidencia</w:t>
      </w:r>
      <w:r w:rsidRPr="00E72E07">
        <w:rPr>
          <w:rFonts w:ascii="Times New Roman" w:hAnsi="Times New Roman"/>
        </w:rPr>
        <w:t xml:space="preserve"> um grande comprometimento e déficits cognitivos</w:t>
      </w:r>
      <w:r w:rsidR="00002B6E">
        <w:rPr>
          <w:rFonts w:ascii="Times New Roman" w:hAnsi="Times New Roman"/>
        </w:rPr>
        <w:t xml:space="preserve"> nos pacientes avaliados</w:t>
      </w:r>
      <w:r w:rsidRPr="00E72E07">
        <w:rPr>
          <w:rFonts w:ascii="Times New Roman" w:hAnsi="Times New Roman"/>
        </w:rPr>
        <w:t>. Esses resultados podem estar associados com o elevado índice de indivíduos idosos além da alta demanda de analfabetos associado com as alterações cognitivas provocadas pelo evento vascular rápido e súbito.</w:t>
      </w:r>
      <w:r w:rsidR="00002B6E">
        <w:rPr>
          <w:rFonts w:ascii="Times New Roman" w:hAnsi="Times New Roman"/>
        </w:rPr>
        <w:t xml:space="preserve"> </w:t>
      </w:r>
      <w:r w:rsidRPr="00E72E07">
        <w:rPr>
          <w:rFonts w:ascii="Times New Roman" w:hAnsi="Times New Roman"/>
        </w:rPr>
        <w:t xml:space="preserve">Com os resultados da MIF obteve-se uma maior independência funcional </w:t>
      </w:r>
      <w:r w:rsidR="00C20B98">
        <w:rPr>
          <w:rFonts w:ascii="Times New Roman" w:hAnsi="Times New Roman"/>
        </w:rPr>
        <w:t>n</w:t>
      </w:r>
      <w:r w:rsidR="00002B6E">
        <w:rPr>
          <w:rFonts w:ascii="Times New Roman" w:hAnsi="Times New Roman"/>
        </w:rPr>
        <w:t>a</w:t>
      </w:r>
      <w:r w:rsidRPr="00E72E07">
        <w:rPr>
          <w:rFonts w:ascii="Times New Roman" w:hAnsi="Times New Roman"/>
        </w:rPr>
        <w:t xml:space="preserve"> amostra estudada, corroborando com estud</w:t>
      </w:r>
      <w:r w:rsidR="00002B6E">
        <w:rPr>
          <w:rFonts w:ascii="Times New Roman" w:hAnsi="Times New Roman"/>
        </w:rPr>
        <w:t xml:space="preserve">os encontrados na literatura </w:t>
      </w:r>
      <w:r w:rsidRPr="00E72E07">
        <w:rPr>
          <w:rFonts w:ascii="Times New Roman" w:eastAsia="Times New Roman" w:hAnsi="Times New Roman"/>
          <w:lang w:eastAsia="pt-BR"/>
        </w:rPr>
        <w:t>que avaliaram a capacidade funcional de idosos com AVE em Campinas – SP e encontraram a média da MIF total de 97 sendo resultado sugestivo de independência funcional</w:t>
      </w:r>
      <w:r w:rsidR="00002B6E">
        <w:rPr>
          <w:rFonts w:ascii="Times New Roman" w:eastAsia="Times New Roman" w:hAnsi="Times New Roman"/>
          <w:lang w:eastAsia="pt-BR"/>
        </w:rPr>
        <w:t xml:space="preserve"> </w:t>
      </w:r>
      <w:r w:rsidR="00AD20CB">
        <w:rPr>
          <w:rFonts w:ascii="Times New Roman" w:eastAsia="Times New Roman" w:hAnsi="Times New Roman"/>
          <w:vertAlign w:val="superscript"/>
          <w:lang w:eastAsia="pt-BR"/>
        </w:rPr>
        <w:t>28</w:t>
      </w:r>
      <w:r w:rsidR="00722FDF" w:rsidRPr="00722FDF">
        <w:rPr>
          <w:rFonts w:ascii="Times New Roman" w:eastAsia="Times New Roman" w:hAnsi="Times New Roman"/>
          <w:lang w:eastAsia="pt-BR"/>
        </w:rPr>
        <w:t>.</w:t>
      </w:r>
      <w:r w:rsidR="00722FDF">
        <w:rPr>
          <w:rFonts w:ascii="Times New Roman" w:eastAsia="Times New Roman" w:hAnsi="Times New Roman"/>
          <w:lang w:eastAsia="pt-BR"/>
        </w:rPr>
        <w:t xml:space="preserve"> </w:t>
      </w:r>
      <w:r w:rsidRPr="00E72E07">
        <w:rPr>
          <w:rFonts w:ascii="Times New Roman" w:eastAsia="Times New Roman" w:hAnsi="Times New Roman"/>
          <w:lang w:eastAsia="pt-BR"/>
        </w:rPr>
        <w:t xml:space="preserve">Na aplicação da escala FM observou-se </w:t>
      </w:r>
      <w:r w:rsidRPr="00E72E07">
        <w:rPr>
          <w:rFonts w:ascii="Times New Roman" w:hAnsi="Times New Roman"/>
        </w:rPr>
        <w:t>comprometimento motor grave e resultados semelhantes podem ser observados nos estudos de</w:t>
      </w:r>
      <w:r w:rsidR="00002B6E">
        <w:rPr>
          <w:rFonts w:ascii="Times New Roman" w:hAnsi="Times New Roman"/>
        </w:rPr>
        <w:t xml:space="preserve"> Cacho, Melo e Oliveira (2004)</w:t>
      </w:r>
      <w:r w:rsidR="00545F40" w:rsidRPr="00002B6E">
        <w:rPr>
          <w:rFonts w:ascii="Times New Roman" w:hAnsi="Times New Roman"/>
          <w:vertAlign w:val="superscript"/>
        </w:rPr>
        <w:t>2</w:t>
      </w:r>
      <w:r w:rsidR="00AD20CB">
        <w:rPr>
          <w:rFonts w:ascii="Times New Roman" w:hAnsi="Times New Roman"/>
          <w:vertAlign w:val="superscript"/>
        </w:rPr>
        <w:t>9</w:t>
      </w:r>
      <w:r w:rsidRPr="00E72E07">
        <w:rPr>
          <w:rFonts w:ascii="Times New Roman" w:hAnsi="Times New Roman"/>
        </w:rPr>
        <w:t xml:space="preserve"> que avaliaram o comprometimento motor de dez indivíduos hemiplégicos e encontraram para a função motora total da FM 70% da amostra com comprometimento severo. </w:t>
      </w:r>
      <w:r w:rsidRPr="00E72E07">
        <w:rPr>
          <w:rFonts w:ascii="Times New Roman" w:hAnsi="Times New Roman"/>
          <w:color w:val="231F20"/>
        </w:rPr>
        <w:t xml:space="preserve">O comprometimento da função motora proporciona déficits na coordenação dos movimentos, fraqueza muscular, tônus e ajustes posturais anormais </w:t>
      </w:r>
      <w:r w:rsidRPr="00C20B98">
        <w:rPr>
          <w:rFonts w:ascii="Times New Roman" w:hAnsi="Times New Roman"/>
          <w:color w:val="000000" w:themeColor="text1"/>
        </w:rPr>
        <w:t>e falta de mobilidade, dificultando a realização de atividades de vida diária e reduzindo a qualidade de vida.</w:t>
      </w:r>
    </w:p>
    <w:p w:rsidR="00656CE9" w:rsidRPr="00EB1834" w:rsidRDefault="00D623B4" w:rsidP="00EB1834">
      <w:pPr>
        <w:pStyle w:val="SemEspaamento"/>
        <w:spacing w:line="360" w:lineRule="auto"/>
        <w:ind w:firstLine="708"/>
        <w:jc w:val="both"/>
        <w:rPr>
          <w:rFonts w:ascii="Times New Roman" w:hAnsi="Times New Roman"/>
        </w:rPr>
      </w:pPr>
      <w:r w:rsidRPr="00C20B98">
        <w:rPr>
          <w:rFonts w:ascii="Times New Roman" w:eastAsia="Times New Roman" w:hAnsi="Times New Roman"/>
          <w:color w:val="000000" w:themeColor="text1"/>
          <w:lang w:eastAsia="pt-BR"/>
        </w:rPr>
        <w:t xml:space="preserve">Os indivíduos acometidos </w:t>
      </w:r>
      <w:proofErr w:type="gramStart"/>
      <w:r w:rsidRPr="00C20B98">
        <w:rPr>
          <w:rFonts w:ascii="Times New Roman" w:eastAsia="Times New Roman" w:hAnsi="Times New Roman"/>
          <w:color w:val="000000" w:themeColor="text1"/>
          <w:lang w:eastAsia="pt-BR"/>
        </w:rPr>
        <w:t>pelo</w:t>
      </w:r>
      <w:r w:rsidRPr="00C20B98">
        <w:rPr>
          <w:rFonts w:ascii="Times New Roman" w:hAnsi="Times New Roman"/>
          <w:color w:val="000000" w:themeColor="text1"/>
        </w:rPr>
        <w:t xml:space="preserve"> AVE</w:t>
      </w:r>
      <w:proofErr w:type="gramEnd"/>
      <w:r w:rsidRPr="00C20B98">
        <w:rPr>
          <w:rFonts w:ascii="Times New Roman" w:hAnsi="Times New Roman"/>
          <w:color w:val="000000" w:themeColor="text1"/>
        </w:rPr>
        <w:t xml:space="preserve"> apresentam alterações de mobilidade, equilíbrio e controle postural estando mais suscetíveis a eventos de quedas e tendo sua incidência diretamente proporciona</w:t>
      </w:r>
      <w:r w:rsidR="00002B6E" w:rsidRPr="00C20B98">
        <w:rPr>
          <w:rFonts w:ascii="Times New Roman" w:hAnsi="Times New Roman"/>
          <w:color w:val="000000" w:themeColor="text1"/>
        </w:rPr>
        <w:t>l ao grau de déficit funcional</w:t>
      </w:r>
      <w:r w:rsidR="00AD20CB" w:rsidRPr="00C20B98">
        <w:rPr>
          <w:rFonts w:ascii="Times New Roman" w:hAnsi="Times New Roman"/>
          <w:color w:val="000000" w:themeColor="text1"/>
          <w:vertAlign w:val="superscript"/>
        </w:rPr>
        <w:t>30</w:t>
      </w:r>
      <w:r w:rsidRPr="00C20B98">
        <w:rPr>
          <w:rFonts w:ascii="Times New Roman" w:hAnsi="Times New Roman"/>
          <w:color w:val="000000" w:themeColor="text1"/>
        </w:rPr>
        <w:t xml:space="preserve">. </w:t>
      </w:r>
      <w:r w:rsidR="00394F64" w:rsidRPr="00C20B98">
        <w:rPr>
          <w:rFonts w:ascii="Times New Roman" w:hAnsi="Times New Roman"/>
          <w:color w:val="000000" w:themeColor="text1"/>
        </w:rPr>
        <w:t xml:space="preserve">No presente estudo observou-se </w:t>
      </w:r>
      <w:r w:rsidRPr="00C20B98">
        <w:rPr>
          <w:rFonts w:ascii="Times New Roman" w:hAnsi="Times New Roman"/>
          <w:color w:val="000000" w:themeColor="text1"/>
        </w:rPr>
        <w:t xml:space="preserve">equilíbrio pobre em 43,59% dos avaliados com a EEB, um baixo risco de quedas </w:t>
      </w:r>
      <w:r w:rsidRPr="00E72E07">
        <w:rPr>
          <w:rFonts w:ascii="Times New Roman" w:hAnsi="Times New Roman"/>
        </w:rPr>
        <w:t xml:space="preserve">na avaliação da TUG para </w:t>
      </w:r>
      <w:r w:rsidR="00394F64">
        <w:rPr>
          <w:rFonts w:ascii="Times New Roman" w:hAnsi="Times New Roman"/>
        </w:rPr>
        <w:t>52</w:t>
      </w:r>
      <w:r w:rsidRPr="00E72E07">
        <w:rPr>
          <w:rFonts w:ascii="Times New Roman" w:hAnsi="Times New Roman"/>
        </w:rPr>
        <w:t xml:space="preserve">% da amostra e os resultado da FAC indicam que 46,15% da amostra </w:t>
      </w:r>
      <w:proofErr w:type="gramStart"/>
      <w:r w:rsidRPr="00E72E07">
        <w:rPr>
          <w:rFonts w:ascii="Times New Roman" w:hAnsi="Times New Roman"/>
        </w:rPr>
        <w:t>apresenta</w:t>
      </w:r>
      <w:proofErr w:type="gramEnd"/>
      <w:r w:rsidRPr="00E72E07">
        <w:rPr>
          <w:rFonts w:ascii="Times New Roman" w:hAnsi="Times New Roman"/>
        </w:rPr>
        <w:t xml:space="preserve"> dificuldade parcial ou total </w:t>
      </w:r>
      <w:r w:rsidRPr="00E72E07">
        <w:rPr>
          <w:rFonts w:ascii="Times New Roman" w:hAnsi="Times New Roman"/>
        </w:rPr>
        <w:lastRenderedPageBreak/>
        <w:t xml:space="preserve">e/ou ausência de deambulação. </w:t>
      </w:r>
      <w:r w:rsidR="00722FDF">
        <w:rPr>
          <w:rFonts w:ascii="Times New Roman" w:hAnsi="Times New Roman"/>
        </w:rPr>
        <w:t>Em um estudo com</w:t>
      </w:r>
      <w:r w:rsidRPr="00E72E07">
        <w:rPr>
          <w:rFonts w:ascii="Times New Roman" w:hAnsi="Times New Roman"/>
        </w:rPr>
        <w:t xml:space="preserve"> 30 idosos avaliados, 36% realizaram o teste do TUG em 30 segundos ou mais, apresentando alto risco de quedas</w:t>
      </w:r>
      <w:r w:rsidR="00AD20CB">
        <w:rPr>
          <w:rFonts w:ascii="Times New Roman" w:hAnsi="Times New Roman"/>
          <w:vertAlign w:val="superscript"/>
        </w:rPr>
        <w:t>30</w:t>
      </w:r>
      <w:r w:rsidRPr="00E72E07">
        <w:rPr>
          <w:rFonts w:ascii="Times New Roman" w:hAnsi="Times New Roman"/>
        </w:rPr>
        <w:t>.</w:t>
      </w:r>
      <w:r w:rsidR="00722FDF">
        <w:rPr>
          <w:rFonts w:ascii="Times New Roman" w:hAnsi="Times New Roman"/>
        </w:rPr>
        <w:t xml:space="preserve"> No estudo com </w:t>
      </w:r>
      <w:proofErr w:type="spellStart"/>
      <w:r w:rsidR="00722FDF">
        <w:rPr>
          <w:rFonts w:ascii="Times New Roman" w:hAnsi="Times New Roman"/>
        </w:rPr>
        <w:t>hemiparéticos</w:t>
      </w:r>
      <w:proofErr w:type="spellEnd"/>
      <w:r w:rsidRPr="00E72E07">
        <w:rPr>
          <w:rFonts w:ascii="Times New Roman" w:hAnsi="Times New Roman"/>
        </w:rPr>
        <w:t xml:space="preserve"> observou-se que dos </w:t>
      </w:r>
      <w:r w:rsidRPr="009D3640">
        <w:rPr>
          <w:rFonts w:ascii="Times New Roman" w:hAnsi="Times New Roman"/>
          <w:color w:val="000000" w:themeColor="text1"/>
        </w:rPr>
        <w:t>21 indivíduos avaliados com a TUG, 19% levaram mais de 30 segundos para completar o teste, o que indica que os mesmos são considerados dependentes na maioria das AV</w:t>
      </w:r>
      <w:r w:rsidR="00722FDF">
        <w:rPr>
          <w:rFonts w:ascii="Times New Roman" w:hAnsi="Times New Roman"/>
          <w:color w:val="000000" w:themeColor="text1"/>
        </w:rPr>
        <w:t>D e na capacidade de mobilidade</w:t>
      </w:r>
      <w:r w:rsidR="00AD20CB">
        <w:rPr>
          <w:rFonts w:ascii="Times New Roman" w:hAnsi="Times New Roman"/>
          <w:vertAlign w:val="superscript"/>
        </w:rPr>
        <w:t>31</w:t>
      </w:r>
      <w:r w:rsidRPr="009D3640">
        <w:rPr>
          <w:rFonts w:ascii="Times New Roman" w:hAnsi="Times New Roman"/>
          <w:color w:val="000000" w:themeColor="text1"/>
        </w:rPr>
        <w:t>.</w:t>
      </w:r>
      <w:r w:rsidR="00722FDF">
        <w:rPr>
          <w:rFonts w:ascii="Times New Roman" w:hAnsi="Times New Roman"/>
          <w:color w:val="000000" w:themeColor="text1"/>
        </w:rPr>
        <w:t xml:space="preserve"> Em um</w:t>
      </w:r>
      <w:r w:rsidRPr="009D3640">
        <w:rPr>
          <w:rFonts w:ascii="Times New Roman" w:hAnsi="Times New Roman"/>
          <w:color w:val="000000" w:themeColor="text1"/>
        </w:rPr>
        <w:t xml:space="preserve"> estudo com a aplicação da EEB em 22 casos de AVE verificou-se um risco de quedas </w:t>
      </w:r>
      <w:r w:rsidR="00722FDF">
        <w:rPr>
          <w:rFonts w:ascii="Times New Roman" w:hAnsi="Times New Roman"/>
          <w:color w:val="000000" w:themeColor="text1"/>
        </w:rPr>
        <w:t>em</w:t>
      </w:r>
      <w:r w:rsidRPr="009D3640">
        <w:rPr>
          <w:rFonts w:ascii="Times New Roman" w:hAnsi="Times New Roman"/>
          <w:color w:val="000000" w:themeColor="text1"/>
        </w:rPr>
        <w:t xml:space="preserve"> 100% dos avaliados</w:t>
      </w:r>
      <w:r w:rsidR="00AD20CB">
        <w:rPr>
          <w:rFonts w:ascii="Times New Roman" w:hAnsi="Times New Roman"/>
          <w:color w:val="000000" w:themeColor="text1"/>
          <w:vertAlign w:val="superscript"/>
        </w:rPr>
        <w:t>32</w:t>
      </w:r>
      <w:r w:rsidRPr="009D3640">
        <w:rPr>
          <w:rFonts w:ascii="Times New Roman" w:hAnsi="Times New Roman"/>
          <w:color w:val="000000" w:themeColor="text1"/>
        </w:rPr>
        <w:t xml:space="preserve">. A manutenção da postura ereta envolve diversos e constantes ajustes corporais com o propósito de manter os segmentos corporais alinhados e orientados de acordo com a tarefa e as sequelas geradas </w:t>
      </w:r>
      <w:proofErr w:type="gramStart"/>
      <w:r w:rsidRPr="009D3640">
        <w:rPr>
          <w:rFonts w:ascii="Times New Roman" w:hAnsi="Times New Roman"/>
          <w:color w:val="000000" w:themeColor="text1"/>
        </w:rPr>
        <w:t>pelo AVE</w:t>
      </w:r>
      <w:proofErr w:type="gramEnd"/>
      <w:r w:rsidRPr="009D3640">
        <w:rPr>
          <w:rFonts w:ascii="Times New Roman" w:hAnsi="Times New Roman"/>
          <w:color w:val="000000" w:themeColor="text1"/>
        </w:rPr>
        <w:t xml:space="preserve"> fazem com que os pacientes empenhem-se na busca do centro de equilíbrio, uma vez que apresentam uma perda sensorial e motora significativa, acarretando maior pr</w:t>
      </w:r>
      <w:r w:rsidR="00722FDF">
        <w:rPr>
          <w:rFonts w:ascii="Times New Roman" w:hAnsi="Times New Roman"/>
          <w:color w:val="000000" w:themeColor="text1"/>
        </w:rPr>
        <w:t>opensão para eventos de quedas</w:t>
      </w:r>
      <w:r w:rsidR="00AD20CB">
        <w:rPr>
          <w:rFonts w:ascii="Times New Roman" w:hAnsi="Times New Roman"/>
          <w:color w:val="000000" w:themeColor="text1"/>
          <w:vertAlign w:val="superscript"/>
        </w:rPr>
        <w:t>31,32</w:t>
      </w:r>
      <w:r w:rsidRPr="009D3640">
        <w:rPr>
          <w:rFonts w:ascii="Times New Roman" w:hAnsi="Times New Roman"/>
          <w:color w:val="000000" w:themeColor="text1"/>
        </w:rPr>
        <w:t>.</w:t>
      </w:r>
      <w:r w:rsidR="00EB1834">
        <w:rPr>
          <w:rFonts w:ascii="Times New Roman" w:hAnsi="Times New Roman"/>
        </w:rPr>
        <w:t xml:space="preserve"> </w:t>
      </w:r>
      <w:r w:rsidR="00656CE9" w:rsidRPr="00656CE9">
        <w:rPr>
          <w:rFonts w:ascii="Times New Roman" w:hAnsi="Times New Roman"/>
          <w:color w:val="231F20"/>
        </w:rPr>
        <w:t>O presente estudo teve como desvantagem um pequeno número de pacientes avaliados.</w:t>
      </w:r>
      <w:r w:rsidR="00656CE9">
        <w:rPr>
          <w:rFonts w:ascii="Times New Roman" w:hAnsi="Times New Roman"/>
          <w:color w:val="231F20"/>
        </w:rPr>
        <w:t xml:space="preserve"> Como limitações, h</w:t>
      </w:r>
      <w:r w:rsidR="00656CE9" w:rsidRPr="00656CE9">
        <w:rPr>
          <w:rFonts w:ascii="Times New Roman" w:hAnsi="Times New Roman"/>
          <w:color w:val="231F20"/>
        </w:rPr>
        <w:t>ouve extensa dificuldade em rastrear os indivíduos com AVE</w:t>
      </w:r>
      <w:r w:rsidR="00EB1834">
        <w:rPr>
          <w:rFonts w:ascii="Times New Roman" w:hAnsi="Times New Roman"/>
          <w:color w:val="231F20"/>
        </w:rPr>
        <w:t xml:space="preserve"> nos bairros da cidade e</w:t>
      </w:r>
      <w:r w:rsidR="008D4AC7">
        <w:rPr>
          <w:rFonts w:ascii="Times New Roman" w:hAnsi="Times New Roman"/>
          <w:color w:val="231F20"/>
        </w:rPr>
        <w:t xml:space="preserve"> </w:t>
      </w:r>
      <w:r w:rsidR="00656CE9" w:rsidRPr="00656CE9">
        <w:rPr>
          <w:rFonts w:ascii="Times New Roman" w:hAnsi="Times New Roman"/>
          <w:color w:val="231F20"/>
        </w:rPr>
        <w:t>detectar dados mais precisos sob a lesão dos pacientes.</w:t>
      </w:r>
    </w:p>
    <w:p w:rsidR="00656CE9" w:rsidRDefault="00656CE9" w:rsidP="00656CE9">
      <w:pPr>
        <w:pStyle w:val="SemEspaamento"/>
        <w:spacing w:line="360" w:lineRule="auto"/>
        <w:rPr>
          <w:rFonts w:ascii="Times New Roman" w:hAnsi="Times New Roman"/>
          <w:b/>
          <w:color w:val="231F20"/>
        </w:rPr>
      </w:pPr>
    </w:p>
    <w:p w:rsidR="00394F64" w:rsidRDefault="00394F64" w:rsidP="00394F64">
      <w:pPr>
        <w:pStyle w:val="SemEspaamento"/>
        <w:spacing w:line="360" w:lineRule="auto"/>
        <w:jc w:val="both"/>
        <w:rPr>
          <w:rFonts w:ascii="Times New Roman" w:hAnsi="Times New Roman"/>
          <w:b/>
          <w:color w:val="231F20"/>
        </w:rPr>
      </w:pPr>
      <w:r>
        <w:rPr>
          <w:rFonts w:ascii="Times New Roman" w:hAnsi="Times New Roman"/>
          <w:b/>
          <w:color w:val="231F20"/>
        </w:rPr>
        <w:t>CONCLUSÃO</w:t>
      </w:r>
    </w:p>
    <w:p w:rsidR="00394F64" w:rsidRPr="00394F64" w:rsidRDefault="00394F64" w:rsidP="00394F64">
      <w:pPr>
        <w:pStyle w:val="SemEspaamento"/>
        <w:spacing w:line="360" w:lineRule="auto"/>
        <w:jc w:val="both"/>
        <w:rPr>
          <w:rFonts w:ascii="Times New Roman" w:hAnsi="Times New Roman"/>
          <w:b/>
        </w:rPr>
      </w:pPr>
    </w:p>
    <w:p w:rsidR="00D623B4" w:rsidRPr="00E72E07" w:rsidRDefault="00C20B98" w:rsidP="00C20B98">
      <w:pPr>
        <w:autoSpaceDE w:val="0"/>
        <w:autoSpaceDN w:val="0"/>
        <w:adjustRightInd w:val="0"/>
        <w:spacing w:after="0" w:line="360" w:lineRule="auto"/>
        <w:ind w:firstLine="708"/>
        <w:jc w:val="both"/>
        <w:rPr>
          <w:rFonts w:ascii="Times New Roman" w:eastAsia="Times New Roman" w:hAnsi="Times New Roman"/>
          <w:lang w:eastAsia="pt-BR"/>
        </w:rPr>
      </w:pPr>
      <w:r>
        <w:rPr>
          <w:rFonts w:ascii="Times New Roman" w:eastAsia="Times New Roman" w:hAnsi="Times New Roman"/>
          <w:lang w:eastAsia="pt-BR"/>
        </w:rPr>
        <w:t>O</w:t>
      </w:r>
      <w:r w:rsidR="00D623B4" w:rsidRPr="00E72E07">
        <w:rPr>
          <w:rFonts w:ascii="Times New Roman" w:eastAsia="Times New Roman" w:hAnsi="Times New Roman"/>
          <w:lang w:eastAsia="pt-BR"/>
        </w:rPr>
        <w:t xml:space="preserve"> elevado número de acometimento </w:t>
      </w:r>
      <w:proofErr w:type="gramStart"/>
      <w:r w:rsidR="00D623B4" w:rsidRPr="00E72E07">
        <w:rPr>
          <w:rFonts w:ascii="Times New Roman" w:eastAsia="Times New Roman" w:hAnsi="Times New Roman"/>
          <w:lang w:eastAsia="pt-BR"/>
        </w:rPr>
        <w:t>do AVE</w:t>
      </w:r>
      <w:proofErr w:type="gramEnd"/>
      <w:r w:rsidR="00D623B4" w:rsidRPr="00E72E07">
        <w:rPr>
          <w:rFonts w:ascii="Times New Roman" w:eastAsia="Times New Roman" w:hAnsi="Times New Roman"/>
          <w:lang w:eastAsia="pt-BR"/>
        </w:rPr>
        <w:t xml:space="preserve"> associado com as características epidemiológicas da região emendam a associação com os </w:t>
      </w:r>
      <w:r w:rsidR="00EB1834" w:rsidRPr="00E72E07">
        <w:rPr>
          <w:rFonts w:ascii="Times New Roman" w:eastAsia="Times New Roman" w:hAnsi="Times New Roman"/>
          <w:lang w:eastAsia="pt-BR"/>
        </w:rPr>
        <w:t>déficits</w:t>
      </w:r>
      <w:r w:rsidR="00D623B4" w:rsidRPr="00E72E07">
        <w:rPr>
          <w:rFonts w:ascii="Times New Roman" w:eastAsia="Times New Roman" w:hAnsi="Times New Roman"/>
          <w:lang w:eastAsia="pt-BR"/>
        </w:rPr>
        <w:t xml:space="preserve"> funcionais, cognitivos e sensório motores encontrados. Esses achados evidenciam o grave problema de saúde pública que essa patologia representa juntamente com a necessidade da implementação de estratégias preventivas, educacionais e de conscientização da população para reduzir a incidência </w:t>
      </w:r>
      <w:proofErr w:type="gramStart"/>
      <w:r w:rsidR="00D623B4" w:rsidRPr="00E72E07">
        <w:rPr>
          <w:rFonts w:ascii="Times New Roman" w:eastAsia="Times New Roman" w:hAnsi="Times New Roman"/>
          <w:lang w:eastAsia="pt-BR"/>
        </w:rPr>
        <w:t>do</w:t>
      </w:r>
      <w:r>
        <w:rPr>
          <w:rFonts w:ascii="Times New Roman" w:eastAsia="Times New Roman" w:hAnsi="Times New Roman"/>
          <w:lang w:eastAsia="pt-BR"/>
        </w:rPr>
        <w:t xml:space="preserve"> </w:t>
      </w:r>
      <w:r w:rsidR="00D623B4" w:rsidRPr="00E72E07">
        <w:rPr>
          <w:rFonts w:ascii="Times New Roman" w:eastAsia="Times New Roman" w:hAnsi="Times New Roman"/>
          <w:lang w:eastAsia="pt-BR"/>
        </w:rPr>
        <w:t>AVE</w:t>
      </w:r>
      <w:proofErr w:type="gramEnd"/>
      <w:r w:rsidR="00D623B4" w:rsidRPr="00E72E07">
        <w:rPr>
          <w:rFonts w:ascii="Times New Roman" w:eastAsia="Times New Roman" w:hAnsi="Times New Roman"/>
          <w:lang w:eastAsia="pt-BR"/>
        </w:rPr>
        <w:t xml:space="preserve">. </w:t>
      </w:r>
      <w:r>
        <w:rPr>
          <w:rFonts w:ascii="Times New Roman" w:eastAsia="Times New Roman" w:hAnsi="Times New Roman"/>
          <w:lang w:eastAsia="pt-BR"/>
        </w:rPr>
        <w:t xml:space="preserve">Desse </w:t>
      </w:r>
      <w:proofErr w:type="spellStart"/>
      <w:proofErr w:type="gramStart"/>
      <w:r>
        <w:rPr>
          <w:rFonts w:ascii="Times New Roman" w:eastAsia="Times New Roman" w:hAnsi="Times New Roman"/>
          <w:lang w:eastAsia="pt-BR"/>
        </w:rPr>
        <w:t>modo,</w:t>
      </w:r>
      <w:proofErr w:type="gramEnd"/>
      <w:r>
        <w:rPr>
          <w:rFonts w:ascii="Times New Roman" w:eastAsia="Times New Roman" w:hAnsi="Times New Roman"/>
          <w:lang w:eastAsia="pt-BR"/>
        </w:rPr>
        <w:t>é</w:t>
      </w:r>
      <w:proofErr w:type="spellEnd"/>
      <w:r>
        <w:rPr>
          <w:rFonts w:ascii="Times New Roman" w:eastAsia="Times New Roman" w:hAnsi="Times New Roman"/>
          <w:lang w:eastAsia="pt-BR"/>
        </w:rPr>
        <w:t xml:space="preserve"> de grande importância instituir </w:t>
      </w:r>
      <w:r w:rsidR="00AA5956">
        <w:rPr>
          <w:rFonts w:ascii="Times New Roman" w:eastAsia="Times New Roman" w:hAnsi="Times New Roman"/>
          <w:lang w:eastAsia="pt-BR"/>
        </w:rPr>
        <w:t xml:space="preserve">melhorias ou modificações nas estratégias de políticas de saúde em relação ao AVE, como realização de campanhas educativas nas escolas, postos de saúde, hospitais, visando à conscientização e melhoria da qualidade de vida da população. </w:t>
      </w:r>
      <w:r>
        <w:rPr>
          <w:rFonts w:ascii="Times New Roman" w:eastAsia="Times New Roman" w:hAnsi="Times New Roman"/>
          <w:lang w:eastAsia="pt-BR"/>
        </w:rPr>
        <w:t>Além disso, torna-se</w:t>
      </w:r>
      <w:r w:rsidR="00D623B4" w:rsidRPr="00E72E07">
        <w:rPr>
          <w:rFonts w:ascii="Times New Roman" w:eastAsia="Times New Roman" w:hAnsi="Times New Roman"/>
          <w:lang w:eastAsia="pt-BR"/>
        </w:rPr>
        <w:t xml:space="preserve"> necessário expandir </w:t>
      </w:r>
      <w:proofErr w:type="gramStart"/>
      <w:r w:rsidR="00D623B4" w:rsidRPr="00E72E07">
        <w:rPr>
          <w:rFonts w:ascii="Times New Roman" w:eastAsia="Times New Roman" w:hAnsi="Times New Roman"/>
          <w:lang w:eastAsia="pt-BR"/>
        </w:rPr>
        <w:t>esse conhecimento através de novos e mais abrangentes</w:t>
      </w:r>
      <w:proofErr w:type="gramEnd"/>
      <w:r w:rsidR="00D623B4" w:rsidRPr="00E72E07">
        <w:rPr>
          <w:rFonts w:ascii="Times New Roman" w:eastAsia="Times New Roman" w:hAnsi="Times New Roman"/>
          <w:lang w:eastAsia="pt-BR"/>
        </w:rPr>
        <w:t xml:space="preserve"> estudos científicos para que possa ampliar a margem de conhecimento do AVE</w:t>
      </w:r>
      <w:r w:rsidR="008D4AC7">
        <w:rPr>
          <w:rFonts w:ascii="Times New Roman" w:eastAsia="Times New Roman" w:hAnsi="Times New Roman"/>
          <w:lang w:eastAsia="pt-BR"/>
        </w:rPr>
        <w:t>.</w:t>
      </w:r>
    </w:p>
    <w:p w:rsidR="00D623B4" w:rsidRPr="00E72E07" w:rsidRDefault="00D623B4" w:rsidP="00D623B4">
      <w:pPr>
        <w:pStyle w:val="SemEspaamento"/>
        <w:spacing w:line="360" w:lineRule="auto"/>
        <w:jc w:val="both"/>
        <w:rPr>
          <w:rFonts w:ascii="Times New Roman" w:eastAsia="Times New Roman" w:hAnsi="Times New Roman"/>
          <w:lang w:eastAsia="pt-BR"/>
        </w:rPr>
      </w:pPr>
    </w:p>
    <w:p w:rsidR="00D623B4" w:rsidRPr="00E72E07" w:rsidRDefault="00D623B4" w:rsidP="00D623B4">
      <w:pPr>
        <w:pStyle w:val="SemEspaamento"/>
        <w:spacing w:line="360" w:lineRule="auto"/>
        <w:jc w:val="both"/>
        <w:rPr>
          <w:rFonts w:ascii="Times New Roman" w:eastAsia="Times New Roman" w:hAnsi="Times New Roman"/>
          <w:lang w:eastAsia="pt-BR"/>
        </w:rPr>
      </w:pPr>
      <w:r w:rsidRPr="00E72E07">
        <w:rPr>
          <w:rFonts w:ascii="Times New Roman" w:eastAsia="Times New Roman" w:hAnsi="Times New Roman"/>
          <w:b/>
          <w:lang w:eastAsia="pt-BR"/>
        </w:rPr>
        <w:t>AGRADECIMENTO:</w:t>
      </w:r>
      <w:r w:rsidRPr="00E72E07">
        <w:rPr>
          <w:rFonts w:ascii="Times New Roman" w:eastAsia="Times New Roman" w:hAnsi="Times New Roman"/>
          <w:lang w:eastAsia="pt-BR"/>
        </w:rPr>
        <w:t xml:space="preserve"> Reuni – Universidade Federal do Rio Grande do Norte (UFRN); Secretaria Municipal de Saúde de Santa Cruz.</w:t>
      </w:r>
    </w:p>
    <w:p w:rsidR="00D623B4" w:rsidRPr="00E72E07" w:rsidRDefault="00D623B4" w:rsidP="00D623B4">
      <w:pPr>
        <w:pStyle w:val="SemEspaamento"/>
        <w:spacing w:line="360" w:lineRule="auto"/>
        <w:jc w:val="both"/>
        <w:rPr>
          <w:rFonts w:ascii="Times New Roman" w:eastAsia="Times New Roman" w:hAnsi="Times New Roman"/>
          <w:lang w:eastAsia="pt-BR"/>
        </w:rPr>
      </w:pPr>
    </w:p>
    <w:p w:rsidR="00D623B4" w:rsidRDefault="00D623B4" w:rsidP="00D623B4">
      <w:pPr>
        <w:pStyle w:val="SemEspaamento"/>
        <w:spacing w:line="360" w:lineRule="auto"/>
        <w:jc w:val="both"/>
        <w:rPr>
          <w:rFonts w:ascii="Times New Roman" w:hAnsi="Times New Roman"/>
          <w:b/>
        </w:rPr>
      </w:pPr>
      <w:r w:rsidRPr="00E72E07">
        <w:rPr>
          <w:rFonts w:ascii="Times New Roman" w:hAnsi="Times New Roman"/>
          <w:b/>
        </w:rPr>
        <w:t>REFERÊNCIA</w:t>
      </w:r>
      <w:r w:rsidR="00183854">
        <w:rPr>
          <w:rFonts w:ascii="Times New Roman" w:hAnsi="Times New Roman"/>
          <w:b/>
        </w:rPr>
        <w:t>S</w:t>
      </w:r>
    </w:p>
    <w:p w:rsidR="00D623B4" w:rsidRPr="00E72E07" w:rsidRDefault="00D623B4" w:rsidP="00D54662">
      <w:pPr>
        <w:pStyle w:val="SemEspaamento"/>
        <w:spacing w:line="360" w:lineRule="auto"/>
        <w:jc w:val="both"/>
        <w:rPr>
          <w:rFonts w:ascii="Times New Roman" w:hAnsi="Times New Roman"/>
          <w:b/>
        </w:rPr>
      </w:pPr>
    </w:p>
    <w:p w:rsidR="00D623B4" w:rsidRPr="00E72E07" w:rsidRDefault="00FC7028" w:rsidP="00D54662">
      <w:pPr>
        <w:pStyle w:val="SemEspaamento"/>
        <w:spacing w:line="360" w:lineRule="auto"/>
        <w:jc w:val="both"/>
        <w:rPr>
          <w:rFonts w:ascii="Times New Roman" w:hAnsi="Times New Roman"/>
          <w:bCs/>
        </w:rPr>
      </w:pPr>
      <w:r>
        <w:rPr>
          <w:rFonts w:ascii="Times New Roman" w:hAnsi="Times New Roman"/>
        </w:rPr>
        <w:t xml:space="preserve">1- </w:t>
      </w:r>
      <w:r w:rsidR="00D623B4" w:rsidRPr="00E72E07">
        <w:rPr>
          <w:rFonts w:ascii="Times New Roman" w:hAnsi="Times New Roman"/>
          <w:bCs/>
        </w:rPr>
        <w:t>C</w:t>
      </w:r>
      <w:r w:rsidR="00183854">
        <w:rPr>
          <w:rFonts w:ascii="Times New Roman" w:hAnsi="Times New Roman"/>
          <w:bCs/>
        </w:rPr>
        <w:t>osta</w:t>
      </w:r>
      <w:r w:rsidR="00D623B4" w:rsidRPr="00E72E07">
        <w:rPr>
          <w:rFonts w:ascii="Times New Roman" w:hAnsi="Times New Roman"/>
          <w:bCs/>
        </w:rPr>
        <w:t xml:space="preserve"> FA, S</w:t>
      </w:r>
      <w:r w:rsidR="00183854">
        <w:rPr>
          <w:rFonts w:ascii="Times New Roman" w:hAnsi="Times New Roman"/>
          <w:bCs/>
        </w:rPr>
        <w:t>ilva</w:t>
      </w:r>
      <w:r w:rsidR="00D623B4" w:rsidRPr="00E72E07">
        <w:rPr>
          <w:rFonts w:ascii="Times New Roman" w:hAnsi="Times New Roman"/>
          <w:bCs/>
        </w:rPr>
        <w:t xml:space="preserve"> DLA, R</w:t>
      </w:r>
      <w:r w:rsidR="00183854">
        <w:rPr>
          <w:rFonts w:ascii="Times New Roman" w:hAnsi="Times New Roman"/>
          <w:bCs/>
        </w:rPr>
        <w:t>ocha</w:t>
      </w:r>
      <w:r w:rsidR="00D623B4" w:rsidRPr="00E72E07">
        <w:rPr>
          <w:rFonts w:ascii="Times New Roman" w:hAnsi="Times New Roman"/>
          <w:bCs/>
        </w:rPr>
        <w:t xml:space="preserve"> VM</w:t>
      </w:r>
      <w:r w:rsidR="00D623B4" w:rsidRPr="00183854">
        <w:rPr>
          <w:rFonts w:ascii="Times New Roman" w:hAnsi="Times New Roman"/>
          <w:bCs/>
          <w:color w:val="000000" w:themeColor="text1"/>
        </w:rPr>
        <w:t xml:space="preserve">. Estado neurológico e cognição de pacientes pós-acidente vascular cerebral. Revista da Escola de Enfermagem - USP. 2011; </w:t>
      </w:r>
      <w:proofErr w:type="gramStart"/>
      <w:r w:rsidR="00D623B4" w:rsidRPr="00183854">
        <w:rPr>
          <w:rFonts w:ascii="Times New Roman" w:hAnsi="Times New Roman"/>
          <w:bCs/>
          <w:color w:val="000000" w:themeColor="text1"/>
        </w:rPr>
        <w:t>45(5):</w:t>
      </w:r>
      <w:proofErr w:type="gramEnd"/>
      <w:r w:rsidR="00D623B4" w:rsidRPr="00183854">
        <w:rPr>
          <w:rFonts w:ascii="Times New Roman" w:hAnsi="Times New Roman"/>
          <w:bCs/>
          <w:color w:val="000000" w:themeColor="text1"/>
        </w:rPr>
        <w:t>1083-88.</w:t>
      </w:r>
      <w:r w:rsidR="00183854" w:rsidRPr="00E72E07">
        <w:rPr>
          <w:rFonts w:ascii="Times New Roman" w:hAnsi="Times New Roman"/>
          <w:bCs/>
        </w:rPr>
        <w:t xml:space="preserve"> </w:t>
      </w:r>
    </w:p>
    <w:p w:rsidR="00D623B4" w:rsidRPr="00183854" w:rsidRDefault="00FC7028" w:rsidP="00D54662">
      <w:pPr>
        <w:pStyle w:val="SemEspaamento"/>
        <w:spacing w:line="360" w:lineRule="auto"/>
        <w:jc w:val="both"/>
        <w:rPr>
          <w:rFonts w:ascii="Times New Roman" w:hAnsi="Times New Roman"/>
        </w:rPr>
      </w:pPr>
      <w:r>
        <w:rPr>
          <w:rFonts w:ascii="Times New Roman" w:hAnsi="Times New Roman"/>
        </w:rPr>
        <w:t xml:space="preserve">2 - </w:t>
      </w:r>
      <w:r w:rsidR="00D623B4" w:rsidRPr="00E72E07">
        <w:rPr>
          <w:rFonts w:ascii="Times New Roman" w:hAnsi="Times New Roman"/>
        </w:rPr>
        <w:t>P</w:t>
      </w:r>
      <w:r w:rsidR="00183854">
        <w:rPr>
          <w:rFonts w:ascii="Times New Roman" w:hAnsi="Times New Roman"/>
        </w:rPr>
        <w:t>ires</w:t>
      </w:r>
      <w:r w:rsidR="00D623B4" w:rsidRPr="00E72E07">
        <w:rPr>
          <w:rFonts w:ascii="Times New Roman" w:hAnsi="Times New Roman"/>
        </w:rPr>
        <w:t xml:space="preserve"> SL, G</w:t>
      </w:r>
      <w:r w:rsidR="00183854">
        <w:rPr>
          <w:rFonts w:ascii="Times New Roman" w:hAnsi="Times New Roman"/>
        </w:rPr>
        <w:t>agliardi</w:t>
      </w:r>
      <w:r w:rsidR="00D623B4" w:rsidRPr="00E72E07">
        <w:rPr>
          <w:rFonts w:ascii="Times New Roman" w:hAnsi="Times New Roman"/>
        </w:rPr>
        <w:t xml:space="preserve"> RJ, </w:t>
      </w:r>
      <w:proofErr w:type="spellStart"/>
      <w:r w:rsidR="00D623B4" w:rsidRPr="00E72E07">
        <w:rPr>
          <w:rFonts w:ascii="Times New Roman" w:hAnsi="Times New Roman"/>
        </w:rPr>
        <w:t>G</w:t>
      </w:r>
      <w:r w:rsidR="00183854">
        <w:rPr>
          <w:rFonts w:ascii="Times New Roman" w:hAnsi="Times New Roman"/>
        </w:rPr>
        <w:t>orzoni</w:t>
      </w:r>
      <w:proofErr w:type="spellEnd"/>
      <w:r w:rsidR="00D623B4" w:rsidRPr="00E72E07">
        <w:rPr>
          <w:rFonts w:ascii="Times New Roman" w:hAnsi="Times New Roman"/>
        </w:rPr>
        <w:t xml:space="preserve"> ML. Estudo das frequências dos principais fatores de risco para o Acidente Vascular Cerebral isquêmico em idoso. </w:t>
      </w:r>
      <w:r w:rsidR="00D623B4" w:rsidRPr="00183854">
        <w:rPr>
          <w:rFonts w:ascii="Times New Roman" w:hAnsi="Times New Roman"/>
          <w:color w:val="000000" w:themeColor="text1"/>
        </w:rPr>
        <w:t>Arquivo Neurops</w:t>
      </w:r>
      <w:r w:rsidR="00183854" w:rsidRPr="00183854">
        <w:rPr>
          <w:rFonts w:ascii="Times New Roman" w:hAnsi="Times New Roman"/>
          <w:color w:val="000000" w:themeColor="text1"/>
        </w:rPr>
        <w:t>iquiatria. 2004;</w:t>
      </w:r>
      <w:r w:rsidR="00545F40" w:rsidRPr="00183854">
        <w:rPr>
          <w:rFonts w:ascii="Times New Roman" w:hAnsi="Times New Roman"/>
          <w:color w:val="000000" w:themeColor="text1"/>
        </w:rPr>
        <w:t xml:space="preserve"> 62(3): 844-51.</w:t>
      </w:r>
    </w:p>
    <w:p w:rsidR="00D623B4" w:rsidRPr="00E72E07" w:rsidRDefault="00545F40" w:rsidP="00D54662">
      <w:pPr>
        <w:pStyle w:val="SemEspaamento"/>
        <w:spacing w:line="360" w:lineRule="auto"/>
        <w:jc w:val="both"/>
        <w:rPr>
          <w:rFonts w:ascii="Times New Roman" w:hAnsi="Times New Roman"/>
          <w:lang w:val="en-US"/>
        </w:rPr>
      </w:pPr>
      <w:r>
        <w:rPr>
          <w:rFonts w:ascii="Times New Roman" w:hAnsi="Times New Roman"/>
          <w:lang w:eastAsia="pt-BR"/>
        </w:rPr>
        <w:lastRenderedPageBreak/>
        <w:t>3</w:t>
      </w:r>
      <w:r w:rsidR="00FC7028">
        <w:rPr>
          <w:rFonts w:ascii="Times New Roman" w:hAnsi="Times New Roman"/>
          <w:lang w:eastAsia="pt-BR"/>
        </w:rPr>
        <w:t xml:space="preserve"> - </w:t>
      </w:r>
      <w:r w:rsidR="00D623B4" w:rsidRPr="00E72E07">
        <w:rPr>
          <w:rFonts w:ascii="Times New Roman" w:hAnsi="Times New Roman"/>
        </w:rPr>
        <w:t>P</w:t>
      </w:r>
      <w:r w:rsidR="00183854">
        <w:rPr>
          <w:rFonts w:ascii="Times New Roman" w:hAnsi="Times New Roman"/>
        </w:rPr>
        <w:t>ereira</w:t>
      </w:r>
      <w:r w:rsidR="00D623B4" w:rsidRPr="00E72E07">
        <w:rPr>
          <w:rFonts w:ascii="Times New Roman" w:hAnsi="Times New Roman"/>
        </w:rPr>
        <w:t xml:space="preserve"> ABNG, A</w:t>
      </w:r>
      <w:r w:rsidR="00183854">
        <w:rPr>
          <w:rFonts w:ascii="Times New Roman" w:hAnsi="Times New Roman"/>
        </w:rPr>
        <w:t>lvarenga</w:t>
      </w:r>
      <w:r w:rsidR="00D623B4" w:rsidRPr="00E72E07">
        <w:rPr>
          <w:rFonts w:ascii="Times New Roman" w:hAnsi="Times New Roman"/>
        </w:rPr>
        <w:t xml:space="preserve"> H, P</w:t>
      </w:r>
      <w:r w:rsidR="00183854">
        <w:rPr>
          <w:rFonts w:ascii="Times New Roman" w:hAnsi="Times New Roman"/>
        </w:rPr>
        <w:t>ereira Júnior</w:t>
      </w:r>
      <w:r w:rsidR="00D623B4" w:rsidRPr="00E72E07">
        <w:rPr>
          <w:rFonts w:ascii="Times New Roman" w:hAnsi="Times New Roman"/>
        </w:rPr>
        <w:t xml:space="preserve"> RS, B</w:t>
      </w:r>
      <w:r w:rsidR="00183854">
        <w:rPr>
          <w:rFonts w:ascii="Times New Roman" w:hAnsi="Times New Roman"/>
        </w:rPr>
        <w:t xml:space="preserve">arbosa </w:t>
      </w:r>
      <w:r w:rsidR="00D623B4" w:rsidRPr="00E72E07">
        <w:rPr>
          <w:rFonts w:ascii="Times New Roman" w:hAnsi="Times New Roman"/>
        </w:rPr>
        <w:t xml:space="preserve">MTS. Prevalência de acidente vascular cerebral em idosos no Município de Vassouras, Rio de Janeiro, Brasil, através do rastreamento de dados do Programa Saúde da Família. </w:t>
      </w:r>
      <w:proofErr w:type="spellStart"/>
      <w:proofErr w:type="gramStart"/>
      <w:r w:rsidR="00D623B4" w:rsidRPr="00E72E07">
        <w:rPr>
          <w:rFonts w:ascii="Times New Roman" w:hAnsi="Times New Roman"/>
          <w:lang w:val="en-US"/>
        </w:rPr>
        <w:t>Caderno</w:t>
      </w:r>
      <w:r w:rsidR="00183854">
        <w:rPr>
          <w:rFonts w:ascii="Times New Roman" w:hAnsi="Times New Roman"/>
          <w:lang w:val="en-US"/>
        </w:rPr>
        <w:t>s</w:t>
      </w:r>
      <w:proofErr w:type="spellEnd"/>
      <w:r w:rsidR="00D623B4" w:rsidRPr="00E72E07">
        <w:rPr>
          <w:rFonts w:ascii="Times New Roman" w:hAnsi="Times New Roman"/>
          <w:lang w:val="en-US"/>
        </w:rPr>
        <w:t xml:space="preserve"> de </w:t>
      </w:r>
      <w:proofErr w:type="spellStart"/>
      <w:r w:rsidR="00D623B4" w:rsidRPr="00E72E07">
        <w:rPr>
          <w:rFonts w:ascii="Times New Roman" w:hAnsi="Times New Roman"/>
          <w:lang w:val="en-US"/>
        </w:rPr>
        <w:t>Saúde</w:t>
      </w:r>
      <w:proofErr w:type="spellEnd"/>
      <w:r w:rsidR="00D623B4" w:rsidRPr="00E72E07">
        <w:rPr>
          <w:rFonts w:ascii="Times New Roman" w:hAnsi="Times New Roman"/>
          <w:lang w:val="en-US"/>
        </w:rPr>
        <w:t xml:space="preserve"> </w:t>
      </w:r>
      <w:proofErr w:type="spellStart"/>
      <w:r w:rsidR="00D623B4" w:rsidRPr="00E72E07">
        <w:rPr>
          <w:rFonts w:ascii="Times New Roman" w:hAnsi="Times New Roman"/>
          <w:lang w:val="en-US"/>
        </w:rPr>
        <w:t>Pública</w:t>
      </w:r>
      <w:proofErr w:type="spellEnd"/>
      <w:r w:rsidR="00D623B4" w:rsidRPr="00E72E07">
        <w:rPr>
          <w:rFonts w:ascii="Times New Roman" w:hAnsi="Times New Roman"/>
          <w:lang w:val="en-US"/>
        </w:rPr>
        <w:t>.</w:t>
      </w:r>
      <w:proofErr w:type="gramEnd"/>
      <w:r w:rsidR="00D623B4" w:rsidRPr="00E72E07">
        <w:rPr>
          <w:rFonts w:ascii="Times New Roman" w:hAnsi="Times New Roman"/>
          <w:lang w:val="en-US"/>
        </w:rPr>
        <w:t xml:space="preserve"> </w:t>
      </w:r>
      <w:r w:rsidR="00183854">
        <w:rPr>
          <w:rFonts w:ascii="Times New Roman" w:hAnsi="Times New Roman"/>
          <w:lang w:val="en-US"/>
        </w:rPr>
        <w:t xml:space="preserve">2009; </w:t>
      </w:r>
      <w:r w:rsidR="00D623B4" w:rsidRPr="00E72E07">
        <w:rPr>
          <w:rFonts w:ascii="Times New Roman" w:hAnsi="Times New Roman"/>
          <w:lang w:val="en-US"/>
        </w:rPr>
        <w:t>25(9):1929-36.</w:t>
      </w:r>
    </w:p>
    <w:p w:rsidR="00D623B4" w:rsidRPr="00E72E07" w:rsidRDefault="00545F40" w:rsidP="00D54662">
      <w:pPr>
        <w:pStyle w:val="SemEspaamento"/>
        <w:spacing w:line="360" w:lineRule="auto"/>
        <w:jc w:val="both"/>
        <w:rPr>
          <w:rFonts w:ascii="Times New Roman" w:hAnsi="Times New Roman"/>
          <w:lang w:val="en-US"/>
        </w:rPr>
      </w:pPr>
      <w:r>
        <w:rPr>
          <w:rFonts w:ascii="Times New Roman" w:hAnsi="Times New Roman"/>
          <w:lang w:val="en-US" w:eastAsia="pt-BR"/>
        </w:rPr>
        <w:t>4</w:t>
      </w:r>
      <w:r w:rsidR="00FC7028">
        <w:rPr>
          <w:rFonts w:ascii="Times New Roman" w:hAnsi="Times New Roman"/>
          <w:lang w:val="en-US" w:eastAsia="pt-BR"/>
        </w:rPr>
        <w:t xml:space="preserve"> </w:t>
      </w:r>
      <w:r w:rsidR="00183854">
        <w:rPr>
          <w:rFonts w:ascii="Times New Roman" w:hAnsi="Times New Roman"/>
          <w:lang w:val="en-US" w:eastAsia="pt-BR"/>
        </w:rPr>
        <w:t>–</w:t>
      </w:r>
      <w:r w:rsidR="00FC7028">
        <w:rPr>
          <w:rFonts w:ascii="Times New Roman" w:hAnsi="Times New Roman"/>
          <w:lang w:val="en-US" w:eastAsia="pt-BR"/>
        </w:rPr>
        <w:t xml:space="preserve"> </w:t>
      </w:r>
      <w:proofErr w:type="spellStart"/>
      <w:r w:rsidR="00D623B4" w:rsidRPr="00E72E07">
        <w:rPr>
          <w:rFonts w:ascii="Times New Roman" w:hAnsi="Times New Roman"/>
          <w:lang w:val="en-US"/>
        </w:rPr>
        <w:t>A</w:t>
      </w:r>
      <w:r w:rsidR="00183854">
        <w:rPr>
          <w:rFonts w:ascii="Times New Roman" w:hAnsi="Times New Roman"/>
          <w:lang w:val="en-US"/>
        </w:rPr>
        <w:t>ppelros</w:t>
      </w:r>
      <w:proofErr w:type="spellEnd"/>
      <w:r w:rsidR="00183854">
        <w:rPr>
          <w:rFonts w:ascii="Times New Roman" w:hAnsi="Times New Roman"/>
          <w:lang w:val="en-US"/>
        </w:rPr>
        <w:t xml:space="preserve"> </w:t>
      </w:r>
      <w:r w:rsidR="00D623B4" w:rsidRPr="00E72E07">
        <w:rPr>
          <w:rFonts w:ascii="Times New Roman" w:hAnsi="Times New Roman"/>
          <w:lang w:val="en-US"/>
        </w:rPr>
        <w:t xml:space="preserve">P, </w:t>
      </w:r>
      <w:proofErr w:type="spellStart"/>
      <w:r w:rsidR="00D623B4" w:rsidRPr="00E72E07">
        <w:rPr>
          <w:rFonts w:ascii="Times New Roman" w:hAnsi="Times New Roman"/>
          <w:lang w:val="en-US"/>
        </w:rPr>
        <w:t>S</w:t>
      </w:r>
      <w:r w:rsidR="00183854">
        <w:rPr>
          <w:rFonts w:ascii="Times New Roman" w:hAnsi="Times New Roman"/>
          <w:lang w:val="en-US"/>
        </w:rPr>
        <w:t>tegmayr</w:t>
      </w:r>
      <w:proofErr w:type="spellEnd"/>
      <w:r w:rsidR="00D623B4" w:rsidRPr="00E72E07">
        <w:rPr>
          <w:rFonts w:ascii="Times New Roman" w:hAnsi="Times New Roman"/>
          <w:lang w:val="en-US"/>
        </w:rPr>
        <w:t xml:space="preserve"> B, </w:t>
      </w:r>
      <w:proofErr w:type="spellStart"/>
      <w:r w:rsidR="00D623B4" w:rsidRPr="00E72E07">
        <w:rPr>
          <w:rFonts w:ascii="Times New Roman" w:hAnsi="Times New Roman"/>
          <w:lang w:val="en-US"/>
        </w:rPr>
        <w:t>T</w:t>
      </w:r>
      <w:r w:rsidR="00183854">
        <w:rPr>
          <w:rFonts w:ascii="Times New Roman" w:hAnsi="Times New Roman"/>
          <w:lang w:val="en-US"/>
        </w:rPr>
        <w:t>erent</w:t>
      </w:r>
      <w:proofErr w:type="spellEnd"/>
      <w:r w:rsidR="00183854">
        <w:rPr>
          <w:rFonts w:ascii="Times New Roman" w:hAnsi="Times New Roman"/>
          <w:lang w:val="en-US"/>
        </w:rPr>
        <w:t xml:space="preserve"> </w:t>
      </w:r>
      <w:r w:rsidR="00D623B4" w:rsidRPr="00E72E07">
        <w:rPr>
          <w:rFonts w:ascii="Times New Roman" w:hAnsi="Times New Roman"/>
          <w:lang w:val="en-US"/>
        </w:rPr>
        <w:t xml:space="preserve">A. </w:t>
      </w:r>
      <w:proofErr w:type="spellStart"/>
      <w:r w:rsidR="00D623B4" w:rsidRPr="00E72E07">
        <w:rPr>
          <w:rFonts w:ascii="Times New Roman" w:hAnsi="Times New Roman"/>
          <w:lang w:val="en-US"/>
        </w:rPr>
        <w:t>Areview</w:t>
      </w:r>
      <w:proofErr w:type="spellEnd"/>
      <w:r w:rsidR="00D623B4" w:rsidRPr="00E72E07">
        <w:rPr>
          <w:rFonts w:ascii="Times New Roman" w:hAnsi="Times New Roman"/>
          <w:lang w:val="en-US"/>
        </w:rPr>
        <w:t xml:space="preserve"> on sex differences in stroke treatment and outcome. </w:t>
      </w:r>
      <w:proofErr w:type="spellStart"/>
      <w:proofErr w:type="gramStart"/>
      <w:r w:rsidR="00D623B4" w:rsidRPr="00E72E07">
        <w:rPr>
          <w:rFonts w:ascii="Times New Roman" w:hAnsi="Times New Roman"/>
          <w:lang w:val="en-US"/>
        </w:rPr>
        <w:t>Acta</w:t>
      </w:r>
      <w:proofErr w:type="spellEnd"/>
      <w:r w:rsidR="00D623B4" w:rsidRPr="00E72E07">
        <w:rPr>
          <w:rFonts w:ascii="Times New Roman" w:hAnsi="Times New Roman"/>
          <w:lang w:val="en-US"/>
        </w:rPr>
        <w:t xml:space="preserve"> </w:t>
      </w:r>
      <w:proofErr w:type="spellStart"/>
      <w:r w:rsidR="00D623B4" w:rsidRPr="00E72E07">
        <w:rPr>
          <w:rFonts w:ascii="Times New Roman" w:hAnsi="Times New Roman"/>
          <w:lang w:val="en-US"/>
        </w:rPr>
        <w:t>Neurologica</w:t>
      </w:r>
      <w:proofErr w:type="spellEnd"/>
      <w:r w:rsidR="00D623B4" w:rsidRPr="00E72E07">
        <w:rPr>
          <w:rFonts w:ascii="Times New Roman" w:hAnsi="Times New Roman"/>
          <w:lang w:val="en-US"/>
        </w:rPr>
        <w:t xml:space="preserve"> </w:t>
      </w:r>
      <w:proofErr w:type="spellStart"/>
      <w:r w:rsidR="00183854">
        <w:rPr>
          <w:rFonts w:ascii="Times New Roman" w:hAnsi="Times New Roman"/>
          <w:lang w:val="en-US"/>
        </w:rPr>
        <w:t>Scandinavica</w:t>
      </w:r>
      <w:proofErr w:type="spellEnd"/>
      <w:r w:rsidR="00183854">
        <w:rPr>
          <w:rFonts w:ascii="Times New Roman" w:hAnsi="Times New Roman"/>
          <w:lang w:val="en-US"/>
        </w:rPr>
        <w:t>.</w:t>
      </w:r>
      <w:proofErr w:type="gramEnd"/>
      <w:r w:rsidR="00183854">
        <w:rPr>
          <w:rFonts w:ascii="Times New Roman" w:hAnsi="Times New Roman"/>
          <w:lang w:val="en-US"/>
        </w:rPr>
        <w:t xml:space="preserve"> </w:t>
      </w:r>
      <w:proofErr w:type="gramStart"/>
      <w:r w:rsidR="00183854">
        <w:rPr>
          <w:rFonts w:ascii="Times New Roman" w:hAnsi="Times New Roman"/>
          <w:lang w:val="en-US"/>
        </w:rPr>
        <w:t xml:space="preserve">2010; </w:t>
      </w:r>
      <w:r w:rsidR="00D623B4" w:rsidRPr="00E72E07">
        <w:rPr>
          <w:rFonts w:ascii="Times New Roman" w:hAnsi="Times New Roman"/>
          <w:lang w:val="en-US"/>
        </w:rPr>
        <w:t>121:359-69.</w:t>
      </w:r>
      <w:proofErr w:type="gramEnd"/>
    </w:p>
    <w:p w:rsidR="00D623B4" w:rsidRPr="00E72E07" w:rsidRDefault="00545F40" w:rsidP="00D54662">
      <w:pPr>
        <w:pStyle w:val="SemEspaamento"/>
        <w:spacing w:line="360" w:lineRule="auto"/>
        <w:jc w:val="both"/>
        <w:rPr>
          <w:rFonts w:ascii="Times New Roman" w:hAnsi="Times New Roman"/>
        </w:rPr>
      </w:pPr>
      <w:r>
        <w:rPr>
          <w:rFonts w:ascii="Times New Roman" w:hAnsi="Times New Roman"/>
          <w:lang w:val="en-US" w:eastAsia="pt-BR"/>
        </w:rPr>
        <w:t>5</w:t>
      </w:r>
      <w:r w:rsidR="00FC7028">
        <w:rPr>
          <w:rFonts w:ascii="Times New Roman" w:hAnsi="Times New Roman"/>
          <w:lang w:val="en-US" w:eastAsia="pt-BR"/>
        </w:rPr>
        <w:t xml:space="preserve"> - </w:t>
      </w:r>
      <w:proofErr w:type="spellStart"/>
      <w:r w:rsidR="00D623B4" w:rsidRPr="00E72E07">
        <w:rPr>
          <w:rFonts w:ascii="Times New Roman" w:hAnsi="Times New Roman"/>
          <w:lang w:val="en-US"/>
        </w:rPr>
        <w:t>L</w:t>
      </w:r>
      <w:r w:rsidR="00183854">
        <w:rPr>
          <w:rFonts w:ascii="Times New Roman" w:hAnsi="Times New Roman"/>
          <w:lang w:val="en-US"/>
        </w:rPr>
        <w:t>otufo</w:t>
      </w:r>
      <w:proofErr w:type="spellEnd"/>
      <w:r w:rsidR="00183854">
        <w:rPr>
          <w:rFonts w:ascii="Times New Roman" w:eastAsia="Times New Roman" w:hAnsi="Times New Roman"/>
          <w:lang w:val="en-US" w:eastAsia="pt-BR"/>
        </w:rPr>
        <w:t xml:space="preserve"> P</w:t>
      </w:r>
      <w:r w:rsidR="00D623B4" w:rsidRPr="00E72E07">
        <w:rPr>
          <w:rFonts w:ascii="Times New Roman" w:eastAsia="Times New Roman" w:hAnsi="Times New Roman"/>
          <w:lang w:val="en-US" w:eastAsia="pt-BR"/>
        </w:rPr>
        <w:t>A.</w:t>
      </w:r>
      <w:r w:rsidR="00D623B4" w:rsidRPr="00E72E07">
        <w:rPr>
          <w:rFonts w:ascii="Times New Roman" w:eastAsia="Times New Roman" w:hAnsi="Times New Roman"/>
          <w:bCs/>
          <w:lang w:val="en-US" w:eastAsia="pt-BR"/>
        </w:rPr>
        <w:t> Stroke in Brazil: </w:t>
      </w:r>
      <w:r w:rsidR="00D623B4" w:rsidRPr="00E72E07">
        <w:rPr>
          <w:rFonts w:ascii="Times New Roman" w:hAnsi="Times New Roman"/>
          <w:bCs/>
          <w:lang w:val="en-US"/>
        </w:rPr>
        <w:t>A</w:t>
      </w:r>
      <w:r w:rsidR="00D623B4" w:rsidRPr="00E72E07">
        <w:rPr>
          <w:rFonts w:ascii="Times New Roman" w:eastAsia="Times New Roman" w:hAnsi="Times New Roman"/>
          <w:bCs/>
          <w:lang w:val="en-US" w:eastAsia="pt-BR"/>
        </w:rPr>
        <w:t xml:space="preserve"> neglected disease.</w:t>
      </w:r>
      <w:r w:rsidR="00D623B4" w:rsidRPr="00E72E07">
        <w:rPr>
          <w:rFonts w:ascii="Times New Roman" w:eastAsia="Times New Roman" w:hAnsi="Times New Roman"/>
          <w:i/>
          <w:iCs/>
          <w:lang w:val="en-US" w:eastAsia="pt-BR"/>
        </w:rPr>
        <w:t> </w:t>
      </w:r>
      <w:r w:rsidR="00183854">
        <w:rPr>
          <w:rFonts w:ascii="Times New Roman" w:eastAsia="Times New Roman" w:hAnsi="Times New Roman"/>
          <w:iCs/>
          <w:lang w:eastAsia="pt-BR"/>
        </w:rPr>
        <w:t>Sã</w:t>
      </w:r>
      <w:r w:rsidR="00D623B4" w:rsidRPr="00E72E07">
        <w:rPr>
          <w:rFonts w:ascii="Times New Roman" w:eastAsia="Times New Roman" w:hAnsi="Times New Roman"/>
          <w:iCs/>
          <w:lang w:eastAsia="pt-BR"/>
        </w:rPr>
        <w:t>o Paulo Med</w:t>
      </w:r>
      <w:r w:rsidR="00D623B4" w:rsidRPr="00E72E07">
        <w:rPr>
          <w:rFonts w:ascii="Times New Roman" w:hAnsi="Times New Roman"/>
          <w:iCs/>
        </w:rPr>
        <w:t>ical</w:t>
      </w:r>
      <w:r w:rsidR="00D623B4" w:rsidRPr="00E72E07">
        <w:rPr>
          <w:rFonts w:ascii="Times New Roman" w:eastAsia="Times New Roman" w:hAnsi="Times New Roman"/>
          <w:iCs/>
          <w:lang w:eastAsia="pt-BR"/>
        </w:rPr>
        <w:t xml:space="preserve"> </w:t>
      </w:r>
      <w:proofErr w:type="spellStart"/>
      <w:r w:rsidR="00D623B4" w:rsidRPr="00E72E07">
        <w:rPr>
          <w:rFonts w:ascii="Times New Roman" w:eastAsia="Times New Roman" w:hAnsi="Times New Roman"/>
          <w:iCs/>
          <w:lang w:eastAsia="pt-BR"/>
        </w:rPr>
        <w:t>J</w:t>
      </w:r>
      <w:r w:rsidR="00D623B4" w:rsidRPr="00E72E07">
        <w:rPr>
          <w:rFonts w:ascii="Times New Roman" w:hAnsi="Times New Roman"/>
          <w:iCs/>
        </w:rPr>
        <w:t>ournal</w:t>
      </w:r>
      <w:proofErr w:type="spellEnd"/>
      <w:r w:rsidR="00D623B4" w:rsidRPr="00E72E07">
        <w:rPr>
          <w:rFonts w:ascii="Times New Roman" w:eastAsia="Times New Roman" w:hAnsi="Times New Roman"/>
          <w:i/>
          <w:iCs/>
          <w:lang w:eastAsia="pt-BR"/>
        </w:rPr>
        <w:t>.</w:t>
      </w:r>
      <w:r w:rsidR="00183854">
        <w:rPr>
          <w:rFonts w:ascii="Times New Roman" w:hAnsi="Times New Roman"/>
        </w:rPr>
        <w:t xml:space="preserve"> 2005;</w:t>
      </w:r>
      <w:r w:rsidR="00D623B4" w:rsidRPr="00E72E07">
        <w:rPr>
          <w:rFonts w:ascii="Times New Roman" w:hAnsi="Times New Roman"/>
        </w:rPr>
        <w:t xml:space="preserve"> </w:t>
      </w:r>
      <w:proofErr w:type="gramStart"/>
      <w:r w:rsidR="00D623B4" w:rsidRPr="00E72E07">
        <w:rPr>
          <w:rFonts w:ascii="Times New Roman" w:eastAsia="Times New Roman" w:hAnsi="Times New Roman"/>
          <w:lang w:eastAsia="pt-BR"/>
        </w:rPr>
        <w:t>123</w:t>
      </w:r>
      <w:r w:rsidR="00D623B4" w:rsidRPr="00E72E07">
        <w:rPr>
          <w:rFonts w:ascii="Times New Roman" w:hAnsi="Times New Roman"/>
        </w:rPr>
        <w:t>(1):</w:t>
      </w:r>
      <w:proofErr w:type="gramEnd"/>
      <w:r w:rsidR="00D623B4" w:rsidRPr="00E72E07">
        <w:rPr>
          <w:rFonts w:ascii="Times New Roman" w:eastAsia="Times New Roman" w:hAnsi="Times New Roman"/>
          <w:lang w:eastAsia="pt-BR"/>
        </w:rPr>
        <w:t xml:space="preserve">3-4. </w:t>
      </w:r>
    </w:p>
    <w:p w:rsidR="00D623B4" w:rsidRPr="00E72E07" w:rsidRDefault="00545F40" w:rsidP="00D54662">
      <w:pPr>
        <w:pStyle w:val="SemEspaamento"/>
        <w:spacing w:line="360" w:lineRule="auto"/>
        <w:jc w:val="both"/>
        <w:rPr>
          <w:rFonts w:ascii="Times New Roman" w:eastAsia="Times New Roman" w:hAnsi="Times New Roman"/>
          <w:lang w:eastAsia="pt-BR"/>
        </w:rPr>
      </w:pPr>
      <w:r>
        <w:rPr>
          <w:rFonts w:ascii="Times New Roman" w:hAnsi="Times New Roman"/>
          <w:lang w:eastAsia="pt-BR"/>
        </w:rPr>
        <w:t>6</w:t>
      </w:r>
      <w:r w:rsidR="00FC7028">
        <w:rPr>
          <w:rFonts w:ascii="Times New Roman" w:hAnsi="Times New Roman"/>
          <w:lang w:eastAsia="pt-BR"/>
        </w:rPr>
        <w:t xml:space="preserve"> - </w:t>
      </w:r>
      <w:r w:rsidR="00D623B4" w:rsidRPr="00E72E07">
        <w:rPr>
          <w:rFonts w:ascii="Times New Roman" w:eastAsia="Times New Roman" w:hAnsi="Times New Roman"/>
          <w:lang w:eastAsia="pt-BR"/>
        </w:rPr>
        <w:t>C</w:t>
      </w:r>
      <w:r w:rsidR="00183854">
        <w:rPr>
          <w:rFonts w:ascii="Times New Roman" w:eastAsia="Times New Roman" w:hAnsi="Times New Roman"/>
          <w:lang w:eastAsia="pt-BR"/>
        </w:rPr>
        <w:t>avalcante</w:t>
      </w:r>
      <w:r w:rsidR="00D623B4" w:rsidRPr="00E72E07">
        <w:rPr>
          <w:rFonts w:ascii="Times New Roman" w:eastAsia="Times New Roman" w:hAnsi="Times New Roman"/>
          <w:lang w:eastAsia="pt-BR"/>
        </w:rPr>
        <w:t xml:space="preserve"> TF, M</w:t>
      </w:r>
      <w:r w:rsidR="00183854">
        <w:rPr>
          <w:rFonts w:ascii="Times New Roman" w:eastAsia="Times New Roman" w:hAnsi="Times New Roman"/>
          <w:lang w:eastAsia="pt-BR"/>
        </w:rPr>
        <w:t>oreira</w:t>
      </w:r>
      <w:r w:rsidR="00D623B4" w:rsidRPr="00E72E07">
        <w:rPr>
          <w:rFonts w:ascii="Times New Roman" w:eastAsia="Times New Roman" w:hAnsi="Times New Roman"/>
          <w:lang w:eastAsia="pt-BR"/>
        </w:rPr>
        <w:t xml:space="preserve"> RP, </w:t>
      </w:r>
      <w:proofErr w:type="spellStart"/>
      <w:r w:rsidR="00D623B4" w:rsidRPr="00E72E07">
        <w:rPr>
          <w:rFonts w:ascii="Times New Roman" w:eastAsia="Times New Roman" w:hAnsi="Times New Roman"/>
          <w:lang w:eastAsia="pt-BR"/>
        </w:rPr>
        <w:t>A</w:t>
      </w:r>
      <w:r w:rsidR="00183854">
        <w:rPr>
          <w:rFonts w:ascii="Times New Roman" w:eastAsia="Times New Roman" w:hAnsi="Times New Roman"/>
          <w:lang w:eastAsia="pt-BR"/>
        </w:rPr>
        <w:t>raujo</w:t>
      </w:r>
      <w:proofErr w:type="spellEnd"/>
      <w:r w:rsidR="00D623B4" w:rsidRPr="00E72E07">
        <w:rPr>
          <w:rFonts w:ascii="Times New Roman" w:eastAsia="Times New Roman" w:hAnsi="Times New Roman"/>
          <w:lang w:eastAsia="pt-BR"/>
        </w:rPr>
        <w:t xml:space="preserve"> TL, L</w:t>
      </w:r>
      <w:r w:rsidR="00183854">
        <w:rPr>
          <w:rFonts w:ascii="Times New Roman" w:eastAsia="Times New Roman" w:hAnsi="Times New Roman"/>
          <w:lang w:eastAsia="pt-BR"/>
        </w:rPr>
        <w:t>opes</w:t>
      </w:r>
      <w:r w:rsidR="00D623B4" w:rsidRPr="00E72E07">
        <w:rPr>
          <w:rFonts w:ascii="Times New Roman" w:eastAsia="Times New Roman" w:hAnsi="Times New Roman"/>
          <w:lang w:eastAsia="pt-BR"/>
        </w:rPr>
        <w:t xml:space="preserve"> MVO. Fatores demográficos e indicadores de risco de acidente vascular encefálico: Comparação entre moradores do município de Fortaleza e o perfil nacional. Revista Latin</w:t>
      </w:r>
      <w:r w:rsidR="00121B5A">
        <w:rPr>
          <w:rFonts w:ascii="Times New Roman" w:eastAsia="Times New Roman" w:hAnsi="Times New Roman"/>
          <w:lang w:eastAsia="pt-BR"/>
        </w:rPr>
        <w:t>o-Americana de Enfermagem. 2010;</w:t>
      </w:r>
      <w:r w:rsidR="00D623B4" w:rsidRPr="00E72E07">
        <w:rPr>
          <w:rFonts w:ascii="Times New Roman" w:eastAsia="Times New Roman" w:hAnsi="Times New Roman"/>
          <w:lang w:eastAsia="pt-BR"/>
        </w:rPr>
        <w:t xml:space="preserve"> 18(4).</w:t>
      </w:r>
    </w:p>
    <w:p w:rsidR="00D623B4" w:rsidRPr="00E72E07" w:rsidRDefault="00545F40" w:rsidP="00D54662">
      <w:pPr>
        <w:pStyle w:val="SemEspaamento"/>
        <w:spacing w:line="360" w:lineRule="auto"/>
        <w:jc w:val="both"/>
        <w:rPr>
          <w:rFonts w:ascii="Times New Roman" w:hAnsi="Times New Roman"/>
          <w:shd w:val="clear" w:color="auto" w:fill="FFFFFF"/>
        </w:rPr>
      </w:pPr>
      <w:r w:rsidRPr="00121B5A">
        <w:rPr>
          <w:rFonts w:ascii="Times New Roman" w:hAnsi="Times New Roman"/>
          <w:lang w:val="en-US" w:eastAsia="pt-BR"/>
        </w:rPr>
        <w:t>7</w:t>
      </w:r>
      <w:r w:rsidR="00FC7028" w:rsidRPr="00121B5A">
        <w:rPr>
          <w:rFonts w:ascii="Times New Roman" w:hAnsi="Times New Roman"/>
          <w:lang w:val="en-US" w:eastAsia="pt-BR"/>
        </w:rPr>
        <w:t xml:space="preserve"> - </w:t>
      </w:r>
      <w:r w:rsidR="00D623B4" w:rsidRPr="00121B5A">
        <w:rPr>
          <w:rFonts w:ascii="Times New Roman" w:hAnsi="Times New Roman"/>
          <w:shd w:val="clear" w:color="auto" w:fill="FFFFFF"/>
          <w:lang w:val="en-US"/>
        </w:rPr>
        <w:t>P</w:t>
      </w:r>
      <w:r w:rsidR="00121B5A" w:rsidRPr="00121B5A">
        <w:rPr>
          <w:rFonts w:ascii="Times New Roman" w:hAnsi="Times New Roman"/>
          <w:shd w:val="clear" w:color="auto" w:fill="FFFFFF"/>
          <w:lang w:val="en-US"/>
        </w:rPr>
        <w:t>eter</w:t>
      </w:r>
      <w:r w:rsidR="00D623B4" w:rsidRPr="00121B5A">
        <w:rPr>
          <w:rFonts w:ascii="Times New Roman" w:hAnsi="Times New Roman"/>
          <w:shd w:val="clear" w:color="auto" w:fill="FFFFFF"/>
          <w:lang w:val="en-US"/>
        </w:rPr>
        <w:t xml:space="preserve"> JK, </w:t>
      </w:r>
      <w:proofErr w:type="spellStart"/>
      <w:r w:rsidR="00D623B4" w:rsidRPr="00121B5A">
        <w:rPr>
          <w:rFonts w:ascii="Times New Roman" w:hAnsi="Times New Roman"/>
          <w:shd w:val="clear" w:color="auto" w:fill="FFFFFF"/>
          <w:lang w:val="en-US"/>
        </w:rPr>
        <w:t>C</w:t>
      </w:r>
      <w:r w:rsidR="00121B5A" w:rsidRPr="00121B5A">
        <w:rPr>
          <w:rFonts w:ascii="Times New Roman" w:hAnsi="Times New Roman"/>
          <w:shd w:val="clear" w:color="auto" w:fill="FFFFFF"/>
          <w:lang w:val="en-US"/>
        </w:rPr>
        <w:t>rispino</w:t>
      </w:r>
      <w:proofErr w:type="spellEnd"/>
      <w:r w:rsidR="00D623B4" w:rsidRPr="00121B5A">
        <w:rPr>
          <w:rFonts w:ascii="Times New Roman" w:hAnsi="Times New Roman"/>
          <w:shd w:val="clear" w:color="auto" w:fill="FFFFFF"/>
          <w:lang w:val="en-US"/>
        </w:rPr>
        <w:t xml:space="preserve"> G, S</w:t>
      </w:r>
      <w:r w:rsidR="00121B5A">
        <w:rPr>
          <w:rFonts w:ascii="Times New Roman" w:hAnsi="Times New Roman"/>
          <w:shd w:val="clear" w:color="auto" w:fill="FFFFFF"/>
          <w:lang w:val="en-US"/>
        </w:rPr>
        <w:t>heehan</w:t>
      </w:r>
      <w:r w:rsidR="00D623B4" w:rsidRPr="00121B5A">
        <w:rPr>
          <w:rFonts w:ascii="Times New Roman" w:hAnsi="Times New Roman"/>
          <w:shd w:val="clear" w:color="auto" w:fill="FFFFFF"/>
          <w:lang w:val="en-US"/>
        </w:rPr>
        <w:t xml:space="preserve"> O, K</w:t>
      </w:r>
      <w:r w:rsidR="00121B5A">
        <w:rPr>
          <w:rFonts w:ascii="Times New Roman" w:hAnsi="Times New Roman"/>
          <w:shd w:val="clear" w:color="auto" w:fill="FFFFFF"/>
          <w:lang w:val="en-US"/>
        </w:rPr>
        <w:t>elly</w:t>
      </w:r>
      <w:r w:rsidR="00D623B4" w:rsidRPr="00121B5A">
        <w:rPr>
          <w:rFonts w:ascii="Times New Roman" w:hAnsi="Times New Roman"/>
          <w:shd w:val="clear" w:color="auto" w:fill="FFFFFF"/>
          <w:lang w:val="en-US"/>
        </w:rPr>
        <w:t xml:space="preserve"> L, </w:t>
      </w:r>
      <w:proofErr w:type="spellStart"/>
      <w:r w:rsidR="00D623B4" w:rsidRPr="00121B5A">
        <w:rPr>
          <w:rFonts w:ascii="Times New Roman" w:hAnsi="Times New Roman"/>
          <w:shd w:val="clear" w:color="auto" w:fill="FFFFFF"/>
          <w:lang w:val="en-US"/>
        </w:rPr>
        <w:t>M</w:t>
      </w:r>
      <w:r w:rsidR="00121B5A">
        <w:rPr>
          <w:rFonts w:ascii="Times New Roman" w:hAnsi="Times New Roman"/>
          <w:shd w:val="clear" w:color="auto" w:fill="FFFFFF"/>
          <w:lang w:val="en-US"/>
        </w:rPr>
        <w:t>arnane</w:t>
      </w:r>
      <w:proofErr w:type="spellEnd"/>
      <w:r w:rsidR="00121B5A">
        <w:rPr>
          <w:rFonts w:ascii="Times New Roman" w:hAnsi="Times New Roman"/>
          <w:shd w:val="clear" w:color="auto" w:fill="FFFFFF"/>
          <w:lang w:val="en-US"/>
        </w:rPr>
        <w:t xml:space="preserve"> </w:t>
      </w:r>
      <w:r w:rsidR="00D623B4" w:rsidRPr="00121B5A">
        <w:rPr>
          <w:rFonts w:ascii="Times New Roman" w:hAnsi="Times New Roman"/>
          <w:shd w:val="clear" w:color="auto" w:fill="FFFFFF"/>
          <w:lang w:val="en-US"/>
        </w:rPr>
        <w:t xml:space="preserve">M, </w:t>
      </w:r>
      <w:proofErr w:type="spellStart"/>
      <w:r w:rsidR="00D623B4" w:rsidRPr="00121B5A">
        <w:rPr>
          <w:rFonts w:ascii="Times New Roman" w:hAnsi="Times New Roman"/>
          <w:shd w:val="clear" w:color="auto" w:fill="FFFFFF"/>
          <w:lang w:val="en-US"/>
        </w:rPr>
        <w:t>M</w:t>
      </w:r>
      <w:r w:rsidR="00121B5A">
        <w:rPr>
          <w:rFonts w:ascii="Times New Roman" w:hAnsi="Times New Roman"/>
          <w:shd w:val="clear" w:color="auto" w:fill="FFFFFF"/>
          <w:lang w:val="en-US"/>
        </w:rPr>
        <w:t>erwick</w:t>
      </w:r>
      <w:proofErr w:type="spellEnd"/>
      <w:r w:rsidR="00D623B4" w:rsidRPr="00121B5A">
        <w:rPr>
          <w:rFonts w:ascii="Times New Roman" w:hAnsi="Times New Roman"/>
          <w:shd w:val="clear" w:color="auto" w:fill="FFFFFF"/>
          <w:lang w:val="en-US"/>
        </w:rPr>
        <w:t xml:space="preserve"> A, et al. </w:t>
      </w:r>
      <w:r w:rsidR="00D623B4" w:rsidRPr="00E72E07">
        <w:rPr>
          <w:rFonts w:ascii="Times New Roman" w:hAnsi="Times New Roman"/>
          <w:shd w:val="clear" w:color="auto" w:fill="FFFFFF"/>
          <w:lang w:val="en-US"/>
        </w:rPr>
        <w:t>Incidence, event rates, and early outcome of stroke in Dublin, Ireland: The North Dublin population stroke study</w:t>
      </w:r>
      <w:r w:rsidR="00D623B4" w:rsidRPr="00121B5A">
        <w:rPr>
          <w:rFonts w:ascii="Times New Roman" w:hAnsi="Times New Roman"/>
          <w:shd w:val="clear" w:color="auto" w:fill="FFFFFF"/>
          <w:lang w:val="en-US"/>
        </w:rPr>
        <w:t xml:space="preserve">. </w:t>
      </w:r>
      <w:proofErr w:type="spellStart"/>
      <w:r w:rsidR="00D623B4" w:rsidRPr="00121B5A">
        <w:rPr>
          <w:rFonts w:ascii="Times New Roman" w:hAnsi="Times New Roman"/>
          <w:shd w:val="clear" w:color="auto" w:fill="FFFFFF"/>
        </w:rPr>
        <w:t>Stroke</w:t>
      </w:r>
      <w:proofErr w:type="spellEnd"/>
      <w:r w:rsidR="00D623B4" w:rsidRPr="00121B5A">
        <w:rPr>
          <w:rFonts w:ascii="Times New Roman" w:hAnsi="Times New Roman"/>
          <w:shd w:val="clear" w:color="auto" w:fill="FFFFFF"/>
        </w:rPr>
        <w:t>.</w:t>
      </w:r>
      <w:r w:rsidR="00121B5A">
        <w:rPr>
          <w:rFonts w:ascii="Times New Roman" w:hAnsi="Times New Roman"/>
          <w:shd w:val="clear" w:color="auto" w:fill="FFFFFF"/>
        </w:rPr>
        <w:t xml:space="preserve"> 2012;</w:t>
      </w:r>
      <w:r w:rsidR="00D623B4" w:rsidRPr="00E72E07">
        <w:rPr>
          <w:rFonts w:ascii="Times New Roman" w:hAnsi="Times New Roman"/>
          <w:shd w:val="clear" w:color="auto" w:fill="FFFFFF"/>
        </w:rPr>
        <w:t xml:space="preserve"> </w:t>
      </w:r>
      <w:proofErr w:type="gramStart"/>
      <w:r w:rsidR="00D623B4" w:rsidRPr="00E72E07">
        <w:rPr>
          <w:rFonts w:ascii="Times New Roman" w:hAnsi="Times New Roman"/>
        </w:rPr>
        <w:t>43(8):</w:t>
      </w:r>
      <w:proofErr w:type="gramEnd"/>
      <w:r w:rsidR="00D623B4" w:rsidRPr="00E72E07">
        <w:rPr>
          <w:rFonts w:ascii="Times New Roman" w:hAnsi="Times New Roman"/>
          <w:shd w:val="clear" w:color="auto" w:fill="FFFFFF"/>
        </w:rPr>
        <w:t>2042-47.</w:t>
      </w:r>
    </w:p>
    <w:p w:rsidR="00D623B4" w:rsidRPr="00E72E07" w:rsidRDefault="00545F40" w:rsidP="00D54662">
      <w:pPr>
        <w:pStyle w:val="SemEspaamento"/>
        <w:spacing w:line="360" w:lineRule="auto"/>
        <w:jc w:val="both"/>
        <w:rPr>
          <w:rFonts w:ascii="Times New Roman" w:eastAsia="Times New Roman" w:hAnsi="Times New Roman"/>
          <w:lang w:val="en-US" w:eastAsia="pt-BR"/>
        </w:rPr>
      </w:pPr>
      <w:r>
        <w:rPr>
          <w:rFonts w:ascii="Times New Roman" w:hAnsi="Times New Roman"/>
          <w:lang w:eastAsia="pt-BR"/>
        </w:rPr>
        <w:t>8</w:t>
      </w:r>
      <w:r w:rsidR="00FC7028">
        <w:rPr>
          <w:rFonts w:ascii="Times New Roman" w:hAnsi="Times New Roman"/>
          <w:lang w:eastAsia="pt-BR"/>
        </w:rPr>
        <w:t xml:space="preserve"> - </w:t>
      </w:r>
      <w:proofErr w:type="spellStart"/>
      <w:r w:rsidR="00D623B4" w:rsidRPr="00E72E07">
        <w:rPr>
          <w:rFonts w:ascii="Times New Roman" w:eastAsia="Times New Roman" w:hAnsi="Times New Roman"/>
          <w:lang w:eastAsia="pt-BR"/>
        </w:rPr>
        <w:t>F</w:t>
      </w:r>
      <w:r w:rsidR="001604D2">
        <w:rPr>
          <w:rFonts w:ascii="Times New Roman" w:eastAsia="Times New Roman" w:hAnsi="Times New Roman"/>
          <w:lang w:eastAsia="pt-BR"/>
        </w:rPr>
        <w:t>alavigna</w:t>
      </w:r>
      <w:proofErr w:type="spellEnd"/>
      <w:r w:rsidR="00D623B4" w:rsidRPr="00E72E07">
        <w:rPr>
          <w:rFonts w:ascii="Times New Roman" w:eastAsia="Times New Roman" w:hAnsi="Times New Roman"/>
          <w:lang w:eastAsia="pt-BR"/>
        </w:rPr>
        <w:t xml:space="preserve"> A, T</w:t>
      </w:r>
      <w:r w:rsidR="001604D2">
        <w:rPr>
          <w:rFonts w:ascii="Times New Roman" w:eastAsia="Times New Roman" w:hAnsi="Times New Roman"/>
          <w:lang w:eastAsia="pt-BR"/>
        </w:rPr>
        <w:t>eles</w:t>
      </w:r>
      <w:r w:rsidR="00D623B4" w:rsidRPr="00E72E07">
        <w:rPr>
          <w:rFonts w:ascii="Times New Roman" w:eastAsia="Times New Roman" w:hAnsi="Times New Roman"/>
          <w:lang w:eastAsia="pt-BR"/>
        </w:rPr>
        <w:t xml:space="preserve"> AR, </w:t>
      </w:r>
      <w:proofErr w:type="spellStart"/>
      <w:r w:rsidR="00D623B4" w:rsidRPr="00E72E07">
        <w:rPr>
          <w:rFonts w:ascii="Times New Roman" w:eastAsia="Times New Roman" w:hAnsi="Times New Roman"/>
          <w:lang w:eastAsia="pt-BR"/>
        </w:rPr>
        <w:t>V</w:t>
      </w:r>
      <w:r w:rsidR="001604D2">
        <w:rPr>
          <w:rFonts w:ascii="Times New Roman" w:eastAsia="Times New Roman" w:hAnsi="Times New Roman"/>
          <w:lang w:eastAsia="pt-BR"/>
        </w:rPr>
        <w:t>edana</w:t>
      </w:r>
      <w:proofErr w:type="spellEnd"/>
      <w:r w:rsidR="00D623B4" w:rsidRPr="00E72E07">
        <w:rPr>
          <w:rFonts w:ascii="Times New Roman" w:eastAsia="Times New Roman" w:hAnsi="Times New Roman"/>
          <w:lang w:eastAsia="pt-BR"/>
        </w:rPr>
        <w:t xml:space="preserve"> VM, K</w:t>
      </w:r>
      <w:r w:rsidR="001604D2">
        <w:rPr>
          <w:rFonts w:ascii="Times New Roman" w:eastAsia="Times New Roman" w:hAnsi="Times New Roman"/>
          <w:lang w:eastAsia="pt-BR"/>
        </w:rPr>
        <w:t xml:space="preserve">leber </w:t>
      </w:r>
      <w:r w:rsidR="00D623B4" w:rsidRPr="00E72E07">
        <w:rPr>
          <w:rFonts w:ascii="Times New Roman" w:eastAsia="Times New Roman" w:hAnsi="Times New Roman"/>
          <w:lang w:eastAsia="pt-BR"/>
        </w:rPr>
        <w:t xml:space="preserve">FD, </w:t>
      </w:r>
      <w:proofErr w:type="spellStart"/>
      <w:r w:rsidR="00D623B4" w:rsidRPr="00E72E07">
        <w:rPr>
          <w:rFonts w:ascii="Times New Roman" w:eastAsia="Times New Roman" w:hAnsi="Times New Roman"/>
          <w:lang w:eastAsia="pt-BR"/>
        </w:rPr>
        <w:t>M</w:t>
      </w:r>
      <w:r w:rsidR="001604D2">
        <w:rPr>
          <w:rFonts w:ascii="Times New Roman" w:eastAsia="Times New Roman" w:hAnsi="Times New Roman"/>
          <w:lang w:eastAsia="pt-BR"/>
        </w:rPr>
        <w:t>osena</w:t>
      </w:r>
      <w:proofErr w:type="spellEnd"/>
      <w:r w:rsidR="00D623B4" w:rsidRPr="00E72E07">
        <w:rPr>
          <w:rFonts w:ascii="Times New Roman" w:eastAsia="Times New Roman" w:hAnsi="Times New Roman"/>
          <w:lang w:eastAsia="pt-BR"/>
        </w:rPr>
        <w:t xml:space="preserve"> G, </w:t>
      </w:r>
      <w:proofErr w:type="spellStart"/>
      <w:proofErr w:type="gramStart"/>
      <w:r w:rsidR="00D623B4" w:rsidRPr="00E72E07">
        <w:rPr>
          <w:rFonts w:ascii="Times New Roman" w:eastAsia="Times New Roman" w:hAnsi="Times New Roman"/>
          <w:lang w:eastAsia="pt-BR"/>
        </w:rPr>
        <w:t>V</w:t>
      </w:r>
      <w:r w:rsidR="001604D2">
        <w:rPr>
          <w:rFonts w:ascii="Times New Roman" w:eastAsia="Times New Roman" w:hAnsi="Times New Roman"/>
          <w:lang w:eastAsia="pt-BR"/>
        </w:rPr>
        <w:t>elho</w:t>
      </w:r>
      <w:r w:rsidR="00D623B4" w:rsidRPr="00E72E07">
        <w:rPr>
          <w:rFonts w:ascii="Times New Roman" w:eastAsia="Times New Roman" w:hAnsi="Times New Roman"/>
          <w:lang w:eastAsia="pt-BR"/>
        </w:rPr>
        <w:t>MC</w:t>
      </w:r>
      <w:proofErr w:type="spellEnd"/>
      <w:proofErr w:type="gramEnd"/>
      <w:r w:rsidR="00D623B4" w:rsidRPr="00E72E07">
        <w:rPr>
          <w:rFonts w:ascii="Times New Roman" w:eastAsia="Times New Roman" w:hAnsi="Times New Roman"/>
          <w:lang w:eastAsia="pt-BR"/>
        </w:rPr>
        <w:t xml:space="preserve">, et al. </w:t>
      </w:r>
      <w:r w:rsidR="00D623B4" w:rsidRPr="00E72E07">
        <w:rPr>
          <w:rFonts w:ascii="Times New Roman" w:eastAsia="Times New Roman" w:hAnsi="Times New Roman"/>
          <w:lang w:val="en-US" w:eastAsia="pt-BR"/>
        </w:rPr>
        <w:t>Awareness of stroke risk factors and warning signs in southern Brazil</w:t>
      </w:r>
      <w:r w:rsidR="001604D2">
        <w:rPr>
          <w:rFonts w:ascii="Times New Roman" w:eastAsia="Times New Roman" w:hAnsi="Times New Roman"/>
          <w:lang w:val="en-US" w:eastAsia="pt-BR"/>
        </w:rPr>
        <w:t xml:space="preserve">. </w:t>
      </w:r>
      <w:proofErr w:type="spellStart"/>
      <w:r w:rsidR="001604D2">
        <w:rPr>
          <w:rFonts w:ascii="Times New Roman" w:eastAsia="Times New Roman" w:hAnsi="Times New Roman"/>
          <w:lang w:val="en-US" w:eastAsia="pt-BR"/>
        </w:rPr>
        <w:t>Arquivo</w:t>
      </w:r>
      <w:proofErr w:type="spellEnd"/>
      <w:r w:rsidR="001604D2">
        <w:rPr>
          <w:rFonts w:ascii="Times New Roman" w:eastAsia="Times New Roman" w:hAnsi="Times New Roman"/>
          <w:lang w:val="en-US" w:eastAsia="pt-BR"/>
        </w:rPr>
        <w:t xml:space="preserve"> Neuropsiquiatria.2009;</w:t>
      </w:r>
      <w:r w:rsidR="00D623B4" w:rsidRPr="00E72E07">
        <w:rPr>
          <w:rFonts w:ascii="Times New Roman" w:eastAsia="Times New Roman" w:hAnsi="Times New Roman"/>
          <w:lang w:val="en-US" w:eastAsia="pt-BR"/>
        </w:rPr>
        <w:t xml:space="preserve"> 67(4):1076-81.</w:t>
      </w:r>
    </w:p>
    <w:p w:rsidR="00D623B4" w:rsidRPr="00E72E07" w:rsidRDefault="00545F40" w:rsidP="00D54662">
      <w:pPr>
        <w:pStyle w:val="SemEspaamento"/>
        <w:spacing w:line="360" w:lineRule="auto"/>
        <w:jc w:val="both"/>
        <w:rPr>
          <w:rFonts w:ascii="Times New Roman" w:hAnsi="Times New Roman"/>
        </w:rPr>
      </w:pPr>
      <w:r>
        <w:rPr>
          <w:rFonts w:ascii="Times New Roman" w:eastAsia="Times New Roman" w:hAnsi="Times New Roman"/>
          <w:lang w:val="en-US" w:eastAsia="pt-BR"/>
        </w:rPr>
        <w:t>9</w:t>
      </w:r>
      <w:r w:rsidR="00FC7028">
        <w:rPr>
          <w:rFonts w:ascii="Times New Roman" w:eastAsia="Times New Roman" w:hAnsi="Times New Roman"/>
          <w:lang w:val="en-US" w:eastAsia="pt-BR"/>
        </w:rPr>
        <w:t xml:space="preserve"> - </w:t>
      </w:r>
      <w:r w:rsidR="00D623B4" w:rsidRPr="00E72E07">
        <w:rPr>
          <w:rFonts w:ascii="Times New Roman" w:hAnsi="Times New Roman"/>
          <w:lang w:val="en-US"/>
        </w:rPr>
        <w:t>R</w:t>
      </w:r>
      <w:r w:rsidR="001604D2">
        <w:rPr>
          <w:rFonts w:ascii="Times New Roman" w:hAnsi="Times New Roman"/>
          <w:lang w:val="en-US"/>
        </w:rPr>
        <w:t xml:space="preserve">osamond W, </w:t>
      </w:r>
      <w:proofErr w:type="spellStart"/>
      <w:r w:rsidR="001604D2">
        <w:rPr>
          <w:rFonts w:ascii="Times New Roman" w:hAnsi="Times New Roman"/>
          <w:lang w:val="en-US"/>
        </w:rPr>
        <w:t>Flegal</w:t>
      </w:r>
      <w:proofErr w:type="spellEnd"/>
      <w:r w:rsidR="00D623B4" w:rsidRPr="00E72E07">
        <w:rPr>
          <w:rFonts w:ascii="Times New Roman" w:hAnsi="Times New Roman"/>
          <w:lang w:val="en-US"/>
        </w:rPr>
        <w:t xml:space="preserve"> K, </w:t>
      </w:r>
      <w:proofErr w:type="spellStart"/>
      <w:r w:rsidR="00D623B4" w:rsidRPr="00E72E07">
        <w:rPr>
          <w:rFonts w:ascii="Times New Roman" w:hAnsi="Times New Roman"/>
          <w:lang w:val="en-US"/>
        </w:rPr>
        <w:t>F</w:t>
      </w:r>
      <w:r w:rsidR="001604D2">
        <w:rPr>
          <w:rFonts w:ascii="Times New Roman" w:hAnsi="Times New Roman"/>
          <w:lang w:val="en-US"/>
        </w:rPr>
        <w:t>urie</w:t>
      </w:r>
      <w:proofErr w:type="spellEnd"/>
      <w:r w:rsidR="001604D2">
        <w:rPr>
          <w:rFonts w:ascii="Times New Roman" w:hAnsi="Times New Roman"/>
          <w:lang w:val="en-US"/>
        </w:rPr>
        <w:t xml:space="preserve"> </w:t>
      </w:r>
      <w:r w:rsidR="00D623B4" w:rsidRPr="00E72E07">
        <w:rPr>
          <w:rFonts w:ascii="Times New Roman" w:hAnsi="Times New Roman"/>
          <w:lang w:val="en-US"/>
        </w:rPr>
        <w:t>K, G</w:t>
      </w:r>
      <w:r w:rsidR="001604D2">
        <w:rPr>
          <w:rFonts w:ascii="Times New Roman" w:hAnsi="Times New Roman"/>
          <w:lang w:val="en-US"/>
        </w:rPr>
        <w:t>o</w:t>
      </w:r>
      <w:r w:rsidR="00D623B4" w:rsidRPr="00E72E07">
        <w:rPr>
          <w:rFonts w:ascii="Times New Roman" w:hAnsi="Times New Roman"/>
          <w:lang w:val="en-US"/>
        </w:rPr>
        <w:t xml:space="preserve"> A, </w:t>
      </w:r>
      <w:proofErr w:type="spellStart"/>
      <w:r w:rsidR="00D623B4" w:rsidRPr="00E72E07">
        <w:rPr>
          <w:rFonts w:ascii="Times New Roman" w:hAnsi="Times New Roman"/>
          <w:lang w:val="en-US"/>
        </w:rPr>
        <w:t>G</w:t>
      </w:r>
      <w:r w:rsidR="001604D2">
        <w:rPr>
          <w:rFonts w:ascii="Times New Roman" w:hAnsi="Times New Roman"/>
          <w:lang w:val="en-US"/>
        </w:rPr>
        <w:t>reenlund</w:t>
      </w:r>
      <w:proofErr w:type="spellEnd"/>
      <w:r w:rsidR="00D623B4" w:rsidRPr="00E72E07">
        <w:rPr>
          <w:rFonts w:ascii="Times New Roman" w:hAnsi="Times New Roman"/>
          <w:lang w:val="en-US"/>
        </w:rPr>
        <w:t xml:space="preserve"> K, </w:t>
      </w:r>
      <w:proofErr w:type="spellStart"/>
      <w:r w:rsidR="00D623B4" w:rsidRPr="00E72E07">
        <w:rPr>
          <w:rFonts w:ascii="Times New Roman" w:hAnsi="Times New Roman"/>
          <w:lang w:val="en-US"/>
        </w:rPr>
        <w:t>H</w:t>
      </w:r>
      <w:r w:rsidR="001604D2">
        <w:rPr>
          <w:rFonts w:ascii="Times New Roman" w:hAnsi="Times New Roman"/>
          <w:lang w:val="en-US"/>
        </w:rPr>
        <w:t>aasen</w:t>
      </w:r>
      <w:proofErr w:type="spellEnd"/>
      <w:r w:rsidR="00D623B4" w:rsidRPr="00E72E07">
        <w:rPr>
          <w:rFonts w:ascii="Times New Roman" w:hAnsi="Times New Roman"/>
          <w:lang w:val="en-US"/>
        </w:rPr>
        <w:t xml:space="preserve">, et al. Heart Disease and Stroke Statistics 2007 Update. </w:t>
      </w:r>
      <w:proofErr w:type="gramStart"/>
      <w:r w:rsidR="00D623B4" w:rsidRPr="00E72E07">
        <w:rPr>
          <w:rFonts w:ascii="Times New Roman" w:hAnsi="Times New Roman"/>
          <w:lang w:val="en-US"/>
        </w:rPr>
        <w:t>A Report from the American Heart Association Statistics Committee and Stroke Statistics Subcommittee.</w:t>
      </w:r>
      <w:proofErr w:type="gramEnd"/>
      <w:r w:rsidR="00D623B4" w:rsidRPr="00E72E07">
        <w:rPr>
          <w:rFonts w:ascii="Times New Roman" w:hAnsi="Times New Roman"/>
          <w:lang w:val="en-US"/>
        </w:rPr>
        <w:t xml:space="preserve"> </w:t>
      </w:r>
      <w:proofErr w:type="spellStart"/>
      <w:r w:rsidR="001604D2">
        <w:rPr>
          <w:rFonts w:ascii="Times New Roman" w:hAnsi="Times New Roman"/>
        </w:rPr>
        <w:t>Circulation</w:t>
      </w:r>
      <w:proofErr w:type="spellEnd"/>
      <w:r w:rsidR="001604D2">
        <w:rPr>
          <w:rFonts w:ascii="Times New Roman" w:hAnsi="Times New Roman"/>
        </w:rPr>
        <w:t>. 2007;</w:t>
      </w:r>
      <w:r w:rsidR="00D623B4" w:rsidRPr="00E72E07">
        <w:rPr>
          <w:rFonts w:ascii="Times New Roman" w:hAnsi="Times New Roman"/>
        </w:rPr>
        <w:t xml:space="preserve"> 115:69-171.</w:t>
      </w:r>
    </w:p>
    <w:p w:rsidR="00D623B4" w:rsidRPr="00E72E07" w:rsidRDefault="00FC7028" w:rsidP="00D54662">
      <w:pPr>
        <w:pStyle w:val="SemEspaamento"/>
        <w:spacing w:line="360" w:lineRule="auto"/>
        <w:jc w:val="both"/>
        <w:rPr>
          <w:rFonts w:ascii="Times New Roman" w:hAnsi="Times New Roman"/>
        </w:rPr>
      </w:pPr>
      <w:r>
        <w:rPr>
          <w:rFonts w:ascii="Times New Roman" w:hAnsi="Times New Roman"/>
        </w:rPr>
        <w:t>1</w:t>
      </w:r>
      <w:r w:rsidR="00545F40">
        <w:rPr>
          <w:rFonts w:ascii="Times New Roman" w:hAnsi="Times New Roman"/>
        </w:rPr>
        <w:t>0</w:t>
      </w:r>
      <w:r>
        <w:rPr>
          <w:rFonts w:ascii="Times New Roman" w:hAnsi="Times New Roman"/>
        </w:rPr>
        <w:t xml:space="preserve"> - </w:t>
      </w:r>
      <w:proofErr w:type="spellStart"/>
      <w:proofErr w:type="gramStart"/>
      <w:r w:rsidR="00D623B4" w:rsidRPr="00E72E07">
        <w:rPr>
          <w:rFonts w:ascii="Times New Roman" w:hAnsi="Times New Roman"/>
        </w:rPr>
        <w:t>Datasus</w:t>
      </w:r>
      <w:proofErr w:type="spellEnd"/>
      <w:proofErr w:type="gramEnd"/>
      <w:r w:rsidR="00D623B4" w:rsidRPr="00E72E07">
        <w:rPr>
          <w:rFonts w:ascii="Times New Roman" w:hAnsi="Times New Roman"/>
        </w:rPr>
        <w:t>: Departamento de informações do SUS. Disponível em: &lt;</w:t>
      </w:r>
      <w:hyperlink r:id="rId6" w:history="1">
        <w:r w:rsidR="00D623B4" w:rsidRPr="00E72E07">
          <w:rPr>
            <w:rStyle w:val="Hyperlink"/>
            <w:rFonts w:ascii="Times New Roman" w:hAnsi="Times New Roman"/>
          </w:rPr>
          <w:t>http://tabnet.datasus.gov.br/tabdata/cadernos/rn.htm</w:t>
        </w:r>
      </w:hyperlink>
      <w:r w:rsidR="00D623B4" w:rsidRPr="00E72E07">
        <w:rPr>
          <w:rFonts w:ascii="Times New Roman" w:hAnsi="Times New Roman"/>
        </w:rPr>
        <w:t xml:space="preserve">&gt; Acesso em 14/12/2012 ás </w:t>
      </w:r>
      <w:proofErr w:type="gramStart"/>
      <w:r w:rsidR="00D623B4" w:rsidRPr="00E72E07">
        <w:rPr>
          <w:rFonts w:ascii="Times New Roman" w:hAnsi="Times New Roman"/>
        </w:rPr>
        <w:t>18:20</w:t>
      </w:r>
      <w:proofErr w:type="gramEnd"/>
      <w:r w:rsidR="00D623B4" w:rsidRPr="00E72E07">
        <w:rPr>
          <w:rFonts w:ascii="Times New Roman" w:hAnsi="Times New Roman"/>
        </w:rPr>
        <w:t>.</w:t>
      </w:r>
    </w:p>
    <w:p w:rsidR="00D623B4" w:rsidRPr="00C15D14" w:rsidRDefault="00FC7028" w:rsidP="00D54662">
      <w:pPr>
        <w:pStyle w:val="SemEspaamento"/>
        <w:spacing w:line="360" w:lineRule="auto"/>
        <w:jc w:val="both"/>
        <w:rPr>
          <w:rFonts w:ascii="Times New Roman" w:hAnsi="Times New Roman"/>
        </w:rPr>
      </w:pPr>
      <w:r w:rsidRPr="00C15D14">
        <w:rPr>
          <w:rFonts w:ascii="Times New Roman" w:hAnsi="Times New Roman"/>
        </w:rPr>
        <w:t>1</w:t>
      </w:r>
      <w:r w:rsidR="00545F40">
        <w:rPr>
          <w:rFonts w:ascii="Times New Roman" w:hAnsi="Times New Roman"/>
        </w:rPr>
        <w:t>1</w:t>
      </w:r>
      <w:r w:rsidRPr="00C15D14">
        <w:rPr>
          <w:rFonts w:ascii="Times New Roman" w:hAnsi="Times New Roman"/>
        </w:rPr>
        <w:t xml:space="preserve"> </w:t>
      </w:r>
      <w:r w:rsidR="00905B5B">
        <w:rPr>
          <w:rFonts w:ascii="Times New Roman" w:hAnsi="Times New Roman"/>
        </w:rPr>
        <w:t>–</w:t>
      </w:r>
      <w:r w:rsidRPr="00C15D14">
        <w:rPr>
          <w:rFonts w:ascii="Times New Roman" w:hAnsi="Times New Roman"/>
        </w:rPr>
        <w:t xml:space="preserve"> </w:t>
      </w:r>
      <w:proofErr w:type="spellStart"/>
      <w:r w:rsidR="00D623B4" w:rsidRPr="00C15D14">
        <w:rPr>
          <w:rFonts w:ascii="Times New Roman" w:hAnsi="Times New Roman"/>
        </w:rPr>
        <w:t>P</w:t>
      </w:r>
      <w:r w:rsidR="00905B5B">
        <w:rPr>
          <w:rFonts w:ascii="Times New Roman" w:hAnsi="Times New Roman"/>
        </w:rPr>
        <w:t>iassaroli</w:t>
      </w:r>
      <w:proofErr w:type="spellEnd"/>
      <w:r w:rsidR="00905B5B">
        <w:rPr>
          <w:rFonts w:ascii="Times New Roman" w:hAnsi="Times New Roman"/>
        </w:rPr>
        <w:t xml:space="preserve"> </w:t>
      </w:r>
      <w:r w:rsidR="00D623B4" w:rsidRPr="00C15D14">
        <w:rPr>
          <w:rFonts w:ascii="Times New Roman" w:hAnsi="Times New Roman"/>
        </w:rPr>
        <w:t xml:space="preserve">CAP, </w:t>
      </w:r>
      <w:proofErr w:type="spellStart"/>
      <w:r w:rsidR="00D623B4" w:rsidRPr="00C15D14">
        <w:rPr>
          <w:rFonts w:ascii="Times New Roman" w:hAnsi="Times New Roman"/>
        </w:rPr>
        <w:t>A</w:t>
      </w:r>
      <w:r w:rsidR="00905B5B">
        <w:rPr>
          <w:rFonts w:ascii="Times New Roman" w:hAnsi="Times New Roman"/>
        </w:rPr>
        <w:t>almeida</w:t>
      </w:r>
      <w:proofErr w:type="spellEnd"/>
      <w:r w:rsidR="00905B5B">
        <w:rPr>
          <w:rFonts w:ascii="Times New Roman" w:hAnsi="Times New Roman"/>
        </w:rPr>
        <w:t xml:space="preserve"> </w:t>
      </w:r>
      <w:r w:rsidR="00D623B4" w:rsidRPr="00C15D14">
        <w:rPr>
          <w:rFonts w:ascii="Times New Roman" w:hAnsi="Times New Roman"/>
        </w:rPr>
        <w:t xml:space="preserve">GC, </w:t>
      </w:r>
      <w:proofErr w:type="spellStart"/>
      <w:r w:rsidR="00D623B4" w:rsidRPr="00C15D14">
        <w:rPr>
          <w:rFonts w:ascii="Times New Roman" w:hAnsi="Times New Roman"/>
        </w:rPr>
        <w:t>L</w:t>
      </w:r>
      <w:r w:rsidR="00905B5B">
        <w:rPr>
          <w:rFonts w:ascii="Times New Roman" w:hAnsi="Times New Roman"/>
        </w:rPr>
        <w:t>uvizotto</w:t>
      </w:r>
      <w:proofErr w:type="spellEnd"/>
      <w:r w:rsidR="00905B5B">
        <w:rPr>
          <w:rFonts w:ascii="Times New Roman" w:hAnsi="Times New Roman"/>
        </w:rPr>
        <w:t xml:space="preserve"> </w:t>
      </w:r>
      <w:r w:rsidR="00D623B4" w:rsidRPr="00C15D14">
        <w:rPr>
          <w:rFonts w:ascii="Times New Roman" w:hAnsi="Times New Roman"/>
        </w:rPr>
        <w:t xml:space="preserve">JC, </w:t>
      </w:r>
      <w:proofErr w:type="spellStart"/>
      <w:r w:rsidR="00D623B4" w:rsidRPr="00C15D14">
        <w:rPr>
          <w:rFonts w:ascii="Times New Roman" w:hAnsi="Times New Roman"/>
        </w:rPr>
        <w:t>S</w:t>
      </w:r>
      <w:r w:rsidR="00905B5B">
        <w:rPr>
          <w:rFonts w:ascii="Times New Roman" w:hAnsi="Times New Roman"/>
        </w:rPr>
        <w:t>uzan</w:t>
      </w:r>
      <w:proofErr w:type="spellEnd"/>
      <w:r w:rsidR="00905B5B">
        <w:rPr>
          <w:rFonts w:ascii="Times New Roman" w:hAnsi="Times New Roman"/>
        </w:rPr>
        <w:t xml:space="preserve"> </w:t>
      </w:r>
      <w:r w:rsidR="00D623B4" w:rsidRPr="00C15D14">
        <w:rPr>
          <w:rFonts w:ascii="Times New Roman" w:hAnsi="Times New Roman"/>
        </w:rPr>
        <w:t>ABBM. Modelos de reabilitação fisioterápica em pacientes adultos com sequelas de AVC isquêmico</w:t>
      </w:r>
      <w:r w:rsidR="00905B5B">
        <w:rPr>
          <w:rFonts w:ascii="Times New Roman" w:hAnsi="Times New Roman"/>
        </w:rPr>
        <w:t xml:space="preserve">. Revista de </w:t>
      </w:r>
      <w:proofErr w:type="gramStart"/>
      <w:r w:rsidR="00905B5B">
        <w:rPr>
          <w:rFonts w:ascii="Times New Roman" w:hAnsi="Times New Roman"/>
        </w:rPr>
        <w:t>Neurociências.</w:t>
      </w:r>
      <w:proofErr w:type="gramEnd"/>
      <w:r w:rsidR="00905B5B">
        <w:rPr>
          <w:rFonts w:ascii="Times New Roman" w:hAnsi="Times New Roman"/>
        </w:rPr>
        <w:t>2012;</w:t>
      </w:r>
      <w:r w:rsidR="00D623B4" w:rsidRPr="00C15D14">
        <w:rPr>
          <w:rFonts w:ascii="Times New Roman" w:hAnsi="Times New Roman"/>
        </w:rPr>
        <w:t xml:space="preserve"> 20(1):128-137.</w:t>
      </w:r>
    </w:p>
    <w:p w:rsidR="000033DF" w:rsidRPr="00905B5B" w:rsidRDefault="00C15D14" w:rsidP="00D54662">
      <w:pPr>
        <w:pStyle w:val="SemEspaamento"/>
        <w:spacing w:line="360" w:lineRule="auto"/>
        <w:jc w:val="both"/>
        <w:rPr>
          <w:rFonts w:ascii="Times New Roman" w:hAnsi="Times New Roman" w:cs="Adobe Garamond Pro"/>
          <w:color w:val="000000"/>
        </w:rPr>
      </w:pPr>
      <w:r w:rsidRPr="00C15D14">
        <w:rPr>
          <w:rFonts w:ascii="Times New Roman" w:hAnsi="Times New Roman"/>
        </w:rPr>
        <w:t>1</w:t>
      </w:r>
      <w:r w:rsidR="00545F40">
        <w:rPr>
          <w:rFonts w:ascii="Times New Roman" w:hAnsi="Times New Roman"/>
        </w:rPr>
        <w:t>2</w:t>
      </w:r>
      <w:r w:rsidRPr="00C15D14">
        <w:rPr>
          <w:rFonts w:ascii="Times New Roman" w:hAnsi="Times New Roman"/>
        </w:rPr>
        <w:t xml:space="preserve"> -</w:t>
      </w:r>
      <w:r w:rsidR="00D623B4" w:rsidRPr="00C15D14">
        <w:rPr>
          <w:rFonts w:ascii="Times New Roman" w:hAnsi="Times New Roman"/>
        </w:rPr>
        <w:t xml:space="preserve"> </w:t>
      </w:r>
      <w:proofErr w:type="gramStart"/>
      <w:r w:rsidR="00D623B4" w:rsidRPr="00905B5B">
        <w:rPr>
          <w:rStyle w:val="A3"/>
          <w:rFonts w:ascii="Times New Roman" w:hAnsi="Times New Roman"/>
        </w:rPr>
        <w:t>T</w:t>
      </w:r>
      <w:r w:rsidR="00905B5B" w:rsidRPr="00905B5B">
        <w:rPr>
          <w:rStyle w:val="A3"/>
          <w:rFonts w:ascii="Times New Roman" w:hAnsi="Times New Roman"/>
        </w:rPr>
        <w:t>eles</w:t>
      </w:r>
      <w:proofErr w:type="gramEnd"/>
      <w:r w:rsidR="00D623B4" w:rsidRPr="00905B5B">
        <w:rPr>
          <w:rStyle w:val="A3"/>
          <w:rFonts w:ascii="Times New Roman" w:hAnsi="Times New Roman"/>
        </w:rPr>
        <w:t xml:space="preserve"> MS, G</w:t>
      </w:r>
      <w:r w:rsidR="00905B5B" w:rsidRPr="00905B5B">
        <w:rPr>
          <w:rStyle w:val="A3"/>
          <w:rFonts w:ascii="Times New Roman" w:hAnsi="Times New Roman"/>
        </w:rPr>
        <w:t>usmão</w:t>
      </w:r>
      <w:r w:rsidR="00D623B4" w:rsidRPr="00905B5B">
        <w:rPr>
          <w:rStyle w:val="A3"/>
          <w:rFonts w:ascii="Times New Roman" w:hAnsi="Times New Roman"/>
        </w:rPr>
        <w:t xml:space="preserve"> C. Avaliação funcional de pacientes com acidente vascular cerebral utilizando o protocolo de </w:t>
      </w:r>
      <w:proofErr w:type="spellStart"/>
      <w:r w:rsidR="00D623B4" w:rsidRPr="00905B5B">
        <w:rPr>
          <w:rStyle w:val="A3"/>
          <w:rFonts w:ascii="Times New Roman" w:hAnsi="Times New Roman"/>
        </w:rPr>
        <w:t>Fugl</w:t>
      </w:r>
      <w:proofErr w:type="spellEnd"/>
      <w:r w:rsidR="00D623B4" w:rsidRPr="00905B5B">
        <w:rPr>
          <w:rStyle w:val="A3"/>
          <w:rFonts w:ascii="Times New Roman" w:hAnsi="Times New Roman"/>
        </w:rPr>
        <w:t xml:space="preserve">-Meyer. </w:t>
      </w:r>
      <w:r w:rsidR="00905B5B" w:rsidRPr="00905B5B">
        <w:rPr>
          <w:rStyle w:val="A3"/>
          <w:rFonts w:ascii="Times New Roman" w:hAnsi="Times New Roman"/>
        </w:rPr>
        <w:t>Revista Neurociências. 2012;</w:t>
      </w:r>
      <w:r w:rsidR="00D623B4" w:rsidRPr="00905B5B">
        <w:rPr>
          <w:rStyle w:val="A3"/>
          <w:rFonts w:ascii="Times New Roman" w:hAnsi="Times New Roman"/>
        </w:rPr>
        <w:t xml:space="preserve"> </w:t>
      </w:r>
      <w:proofErr w:type="gramStart"/>
      <w:r w:rsidR="00D623B4" w:rsidRPr="00905B5B">
        <w:rPr>
          <w:rStyle w:val="A3"/>
          <w:rFonts w:ascii="Times New Roman" w:hAnsi="Times New Roman"/>
        </w:rPr>
        <w:t>20(1):</w:t>
      </w:r>
      <w:proofErr w:type="gramEnd"/>
      <w:r w:rsidR="00D623B4" w:rsidRPr="00905B5B">
        <w:rPr>
          <w:rStyle w:val="A3"/>
          <w:rFonts w:ascii="Times New Roman" w:hAnsi="Times New Roman"/>
        </w:rPr>
        <w:t>42-49.</w:t>
      </w:r>
    </w:p>
    <w:p w:rsidR="000033DF" w:rsidRPr="00905B5B" w:rsidRDefault="000033DF" w:rsidP="00D54662">
      <w:pPr>
        <w:pStyle w:val="SemEspaamento"/>
        <w:spacing w:line="360" w:lineRule="auto"/>
        <w:jc w:val="both"/>
        <w:rPr>
          <w:rFonts w:ascii="Times New Roman" w:hAnsi="Times New Roman"/>
          <w:highlight w:val="yellow"/>
        </w:rPr>
      </w:pPr>
      <w:r w:rsidRPr="00905B5B">
        <w:rPr>
          <w:rStyle w:val="apple-style-span"/>
          <w:rFonts w:ascii="Times New Roman" w:hAnsi="Times New Roman"/>
          <w:color w:val="000000"/>
          <w:shd w:val="clear" w:color="auto" w:fill="F9FBFD"/>
        </w:rPr>
        <w:t>1</w:t>
      </w:r>
      <w:r w:rsidR="00545F40" w:rsidRPr="00905B5B">
        <w:rPr>
          <w:rStyle w:val="apple-style-span"/>
          <w:rFonts w:ascii="Times New Roman" w:hAnsi="Times New Roman"/>
          <w:color w:val="000000"/>
          <w:shd w:val="clear" w:color="auto" w:fill="F9FBFD"/>
        </w:rPr>
        <w:t>3</w:t>
      </w:r>
      <w:r w:rsidRPr="00905B5B">
        <w:rPr>
          <w:rStyle w:val="apple-style-span"/>
          <w:rFonts w:ascii="Times New Roman" w:hAnsi="Times New Roman"/>
          <w:color w:val="000000"/>
          <w:shd w:val="clear" w:color="auto" w:fill="F9FBFD"/>
        </w:rPr>
        <w:t xml:space="preserve"> - A</w:t>
      </w:r>
      <w:r w:rsidR="00905B5B" w:rsidRPr="00905B5B">
        <w:rPr>
          <w:rStyle w:val="apple-style-span"/>
          <w:rFonts w:ascii="Times New Roman" w:hAnsi="Times New Roman"/>
          <w:color w:val="000000"/>
          <w:shd w:val="clear" w:color="auto" w:fill="F9FBFD"/>
        </w:rPr>
        <w:t>lmeida</w:t>
      </w:r>
      <w:r w:rsidRPr="00905B5B">
        <w:rPr>
          <w:rStyle w:val="apple-style-span"/>
          <w:rFonts w:ascii="Times New Roman" w:hAnsi="Times New Roman"/>
          <w:color w:val="000000"/>
          <w:shd w:val="clear" w:color="auto" w:fill="F9FBFD"/>
        </w:rPr>
        <w:t xml:space="preserve"> OP. Mini Exame do Estado Mental e o diagnóstico de demência no Brasil. Arquivo de Neuropsiquiatria. 1998</w:t>
      </w:r>
      <w:r w:rsidR="00905B5B" w:rsidRPr="00905B5B">
        <w:rPr>
          <w:rStyle w:val="apple-style-span"/>
          <w:rFonts w:ascii="Times New Roman" w:hAnsi="Times New Roman"/>
          <w:color w:val="000000"/>
          <w:shd w:val="clear" w:color="auto" w:fill="F9FBFD"/>
        </w:rPr>
        <w:t>;</w:t>
      </w:r>
      <w:r w:rsidRPr="00905B5B">
        <w:rPr>
          <w:rStyle w:val="apple-style-span"/>
          <w:rFonts w:ascii="Times New Roman" w:hAnsi="Times New Roman"/>
          <w:color w:val="000000"/>
          <w:shd w:val="clear" w:color="auto" w:fill="F9FBFD"/>
        </w:rPr>
        <w:t xml:space="preserve"> </w:t>
      </w:r>
      <w:proofErr w:type="gramStart"/>
      <w:r w:rsidRPr="00905B5B">
        <w:rPr>
          <w:rStyle w:val="apple-style-span"/>
          <w:rFonts w:ascii="Times New Roman" w:hAnsi="Times New Roman"/>
          <w:color w:val="000000"/>
          <w:shd w:val="clear" w:color="auto" w:fill="F9FBFD"/>
        </w:rPr>
        <w:t>56(3):</w:t>
      </w:r>
      <w:proofErr w:type="gramEnd"/>
      <w:r w:rsidRPr="00905B5B">
        <w:rPr>
          <w:rStyle w:val="apple-style-span"/>
          <w:rFonts w:ascii="Times New Roman" w:hAnsi="Times New Roman"/>
          <w:color w:val="000000"/>
          <w:shd w:val="clear" w:color="auto" w:fill="F9FBFD"/>
        </w:rPr>
        <w:t>605-612.</w:t>
      </w:r>
    </w:p>
    <w:p w:rsidR="000033DF" w:rsidRPr="00905B5B" w:rsidRDefault="000033DF" w:rsidP="00D54662">
      <w:pPr>
        <w:pStyle w:val="SemEspaamento"/>
        <w:spacing w:line="360" w:lineRule="auto"/>
        <w:jc w:val="both"/>
        <w:rPr>
          <w:rFonts w:ascii="Times New Roman" w:hAnsi="Times New Roman"/>
        </w:rPr>
      </w:pPr>
      <w:r w:rsidRPr="00905B5B">
        <w:rPr>
          <w:rFonts w:ascii="Times New Roman" w:hAnsi="Times New Roman"/>
        </w:rPr>
        <w:t>1</w:t>
      </w:r>
      <w:r w:rsidR="00545F40" w:rsidRPr="00905B5B">
        <w:rPr>
          <w:rFonts w:ascii="Times New Roman" w:hAnsi="Times New Roman"/>
        </w:rPr>
        <w:t>4</w:t>
      </w:r>
      <w:r w:rsidRPr="00905B5B">
        <w:rPr>
          <w:rFonts w:ascii="Times New Roman" w:hAnsi="Times New Roman"/>
        </w:rPr>
        <w:t xml:space="preserve"> </w:t>
      </w:r>
      <w:r w:rsidR="00905B5B" w:rsidRPr="00905B5B">
        <w:rPr>
          <w:rFonts w:ascii="Times New Roman" w:hAnsi="Times New Roman"/>
        </w:rPr>
        <w:t>–</w:t>
      </w:r>
      <w:r w:rsidRPr="00905B5B">
        <w:rPr>
          <w:rFonts w:ascii="Times New Roman" w:hAnsi="Times New Roman"/>
        </w:rPr>
        <w:t xml:space="preserve"> </w:t>
      </w:r>
      <w:r w:rsidR="00905B5B" w:rsidRPr="00905B5B">
        <w:rPr>
          <w:rFonts w:ascii="Times New Roman" w:hAnsi="Times New Roman"/>
        </w:rPr>
        <w:t>Riberto M.</w:t>
      </w:r>
      <w:r w:rsidRPr="00905B5B">
        <w:rPr>
          <w:rFonts w:ascii="Times New Roman" w:hAnsi="Times New Roman"/>
        </w:rPr>
        <w:t xml:space="preserve"> </w:t>
      </w:r>
      <w:proofErr w:type="gramStart"/>
      <w:r w:rsidRPr="00905B5B">
        <w:rPr>
          <w:rFonts w:ascii="Times New Roman" w:hAnsi="Times New Roman"/>
        </w:rPr>
        <w:t>et</w:t>
      </w:r>
      <w:proofErr w:type="gramEnd"/>
      <w:r w:rsidRPr="00905B5B">
        <w:rPr>
          <w:rFonts w:ascii="Times New Roman" w:hAnsi="Times New Roman"/>
        </w:rPr>
        <w:t xml:space="preserve"> al. Reprodutibilidade da versão brasileira da medida de independência funcional. Acta Fisiátrica. </w:t>
      </w:r>
      <w:r w:rsidR="00905B5B">
        <w:rPr>
          <w:rFonts w:ascii="Times New Roman" w:hAnsi="Times New Roman"/>
        </w:rPr>
        <w:t xml:space="preserve">2001; </w:t>
      </w:r>
      <w:proofErr w:type="gramStart"/>
      <w:r w:rsidRPr="00905B5B">
        <w:rPr>
          <w:rFonts w:ascii="Times New Roman" w:hAnsi="Times New Roman"/>
        </w:rPr>
        <w:t>8</w:t>
      </w:r>
      <w:r w:rsidR="00905B5B">
        <w:rPr>
          <w:rFonts w:ascii="Times New Roman" w:hAnsi="Times New Roman"/>
        </w:rPr>
        <w:t>(</w:t>
      </w:r>
      <w:r w:rsidRPr="00905B5B">
        <w:rPr>
          <w:rFonts w:ascii="Times New Roman" w:hAnsi="Times New Roman"/>
        </w:rPr>
        <w:t>1</w:t>
      </w:r>
      <w:r w:rsidR="00905B5B">
        <w:rPr>
          <w:rFonts w:ascii="Times New Roman" w:hAnsi="Times New Roman"/>
        </w:rPr>
        <w:t>):</w:t>
      </w:r>
      <w:proofErr w:type="gramEnd"/>
      <w:r w:rsidRPr="00905B5B">
        <w:rPr>
          <w:rFonts w:ascii="Times New Roman" w:hAnsi="Times New Roman"/>
        </w:rPr>
        <w:t>45-52</w:t>
      </w:r>
      <w:r w:rsidR="00905B5B">
        <w:rPr>
          <w:rFonts w:ascii="Times New Roman" w:hAnsi="Times New Roman"/>
        </w:rPr>
        <w:t>.</w:t>
      </w:r>
    </w:p>
    <w:p w:rsidR="000033DF" w:rsidRPr="00905B5B" w:rsidRDefault="000033DF" w:rsidP="00D54662">
      <w:pPr>
        <w:pStyle w:val="SemEspaamento"/>
        <w:spacing w:line="360" w:lineRule="auto"/>
        <w:jc w:val="both"/>
        <w:rPr>
          <w:rStyle w:val="apple-style-span"/>
          <w:rFonts w:ascii="Times New Roman" w:hAnsi="Times New Roman"/>
          <w:color w:val="000000"/>
          <w:shd w:val="clear" w:color="auto" w:fill="F9FBFD"/>
          <w:lang w:val="en-US"/>
        </w:rPr>
      </w:pPr>
      <w:r w:rsidRPr="00905B5B">
        <w:rPr>
          <w:rFonts w:ascii="Times New Roman" w:hAnsi="Times New Roman"/>
        </w:rPr>
        <w:t>1</w:t>
      </w:r>
      <w:r w:rsidR="00545F40" w:rsidRPr="00905B5B">
        <w:rPr>
          <w:rFonts w:ascii="Times New Roman" w:hAnsi="Times New Roman"/>
        </w:rPr>
        <w:t>5</w:t>
      </w:r>
      <w:r w:rsidRPr="00905B5B">
        <w:rPr>
          <w:rFonts w:ascii="Times New Roman" w:hAnsi="Times New Roman"/>
        </w:rPr>
        <w:t xml:space="preserve"> </w:t>
      </w:r>
      <w:r w:rsidR="00905B5B">
        <w:rPr>
          <w:rFonts w:ascii="Times New Roman" w:hAnsi="Times New Roman"/>
        </w:rPr>
        <w:t>–</w:t>
      </w:r>
      <w:r w:rsidRPr="00905B5B">
        <w:rPr>
          <w:rFonts w:ascii="Times New Roman" w:hAnsi="Times New Roman"/>
        </w:rPr>
        <w:t xml:space="preserve"> </w:t>
      </w:r>
      <w:r w:rsidRPr="00905B5B">
        <w:rPr>
          <w:rStyle w:val="apple-style-span"/>
          <w:rFonts w:ascii="Times New Roman" w:hAnsi="Times New Roman"/>
          <w:color w:val="000000"/>
          <w:shd w:val="clear" w:color="auto" w:fill="F9FBFD"/>
        </w:rPr>
        <w:t>R</w:t>
      </w:r>
      <w:r w:rsidR="00905B5B">
        <w:rPr>
          <w:rStyle w:val="apple-style-span"/>
          <w:rFonts w:ascii="Times New Roman" w:hAnsi="Times New Roman"/>
          <w:color w:val="000000"/>
          <w:shd w:val="clear" w:color="auto" w:fill="F9FBFD"/>
        </w:rPr>
        <w:t xml:space="preserve">iberto </w:t>
      </w:r>
      <w:r w:rsidRPr="00905B5B">
        <w:rPr>
          <w:rStyle w:val="apple-style-span"/>
          <w:rFonts w:ascii="Times New Roman" w:hAnsi="Times New Roman"/>
          <w:color w:val="000000"/>
          <w:shd w:val="clear" w:color="auto" w:fill="F9FBFD"/>
        </w:rPr>
        <w:t>M, M</w:t>
      </w:r>
      <w:r w:rsidR="00905B5B">
        <w:rPr>
          <w:rStyle w:val="apple-style-span"/>
          <w:rFonts w:ascii="Times New Roman" w:hAnsi="Times New Roman"/>
          <w:color w:val="000000"/>
          <w:shd w:val="clear" w:color="auto" w:fill="F9FBFD"/>
        </w:rPr>
        <w:t>iyazaki</w:t>
      </w:r>
      <w:r w:rsidRPr="00905B5B">
        <w:rPr>
          <w:rStyle w:val="apple-style-span"/>
          <w:rFonts w:ascii="Times New Roman" w:hAnsi="Times New Roman"/>
          <w:color w:val="000000"/>
          <w:shd w:val="clear" w:color="auto" w:fill="F9FBFD"/>
        </w:rPr>
        <w:t xml:space="preserve"> MH, J</w:t>
      </w:r>
      <w:r w:rsidR="00905B5B">
        <w:rPr>
          <w:rStyle w:val="apple-style-span"/>
          <w:rFonts w:ascii="Times New Roman" w:hAnsi="Times New Roman"/>
          <w:color w:val="000000"/>
          <w:shd w:val="clear" w:color="auto" w:fill="F9FBFD"/>
        </w:rPr>
        <w:t>ucá</w:t>
      </w:r>
      <w:r w:rsidRPr="00905B5B">
        <w:rPr>
          <w:rStyle w:val="apple-style-span"/>
          <w:rFonts w:ascii="Times New Roman" w:hAnsi="Times New Roman"/>
          <w:color w:val="000000"/>
          <w:shd w:val="clear" w:color="auto" w:fill="F9FBFD"/>
        </w:rPr>
        <w:t xml:space="preserve"> SSH, S</w:t>
      </w:r>
      <w:r w:rsidR="00905B5B">
        <w:rPr>
          <w:rStyle w:val="apple-style-span"/>
          <w:rFonts w:ascii="Times New Roman" w:hAnsi="Times New Roman"/>
          <w:color w:val="000000"/>
          <w:shd w:val="clear" w:color="auto" w:fill="F9FBFD"/>
        </w:rPr>
        <w:t>akamoto H, Pinto</w:t>
      </w:r>
      <w:r w:rsidRPr="00905B5B">
        <w:rPr>
          <w:rStyle w:val="apple-style-span"/>
          <w:rFonts w:ascii="Times New Roman" w:hAnsi="Times New Roman"/>
          <w:color w:val="000000"/>
          <w:shd w:val="clear" w:color="auto" w:fill="F9FBFD"/>
        </w:rPr>
        <w:t xml:space="preserve"> PPN, </w:t>
      </w:r>
      <w:proofErr w:type="spellStart"/>
      <w:r w:rsidRPr="00905B5B">
        <w:rPr>
          <w:rStyle w:val="apple-style-span"/>
          <w:rFonts w:ascii="Times New Roman" w:hAnsi="Times New Roman"/>
          <w:color w:val="000000"/>
          <w:shd w:val="clear" w:color="auto" w:fill="F9FBFD"/>
        </w:rPr>
        <w:t>B</w:t>
      </w:r>
      <w:r w:rsidR="00905B5B">
        <w:rPr>
          <w:rStyle w:val="apple-style-span"/>
          <w:rFonts w:ascii="Times New Roman" w:hAnsi="Times New Roman"/>
          <w:color w:val="000000"/>
          <w:shd w:val="clear" w:color="auto" w:fill="F9FBFD"/>
        </w:rPr>
        <w:t>attistella</w:t>
      </w:r>
      <w:proofErr w:type="spellEnd"/>
      <w:r w:rsidRPr="00905B5B">
        <w:rPr>
          <w:rStyle w:val="apple-style-span"/>
          <w:rFonts w:ascii="Times New Roman" w:hAnsi="Times New Roman"/>
          <w:color w:val="000000"/>
          <w:shd w:val="clear" w:color="auto" w:fill="F9FBFD"/>
        </w:rPr>
        <w:t xml:space="preserve"> LR. Validação da versão brasileira da Medida de Independência Funcional. Acta Fisiátrica. </w:t>
      </w:r>
      <w:r w:rsidR="00905B5B">
        <w:rPr>
          <w:rStyle w:val="apple-style-span"/>
          <w:rFonts w:ascii="Times New Roman" w:hAnsi="Times New Roman"/>
          <w:color w:val="000000"/>
          <w:shd w:val="clear" w:color="auto" w:fill="F9FBFD"/>
          <w:lang w:val="en-US"/>
        </w:rPr>
        <w:t>2004; 11(2):72–</w:t>
      </w:r>
      <w:r w:rsidRPr="00905B5B">
        <w:rPr>
          <w:rStyle w:val="apple-style-span"/>
          <w:rFonts w:ascii="Times New Roman" w:hAnsi="Times New Roman"/>
          <w:color w:val="000000"/>
          <w:shd w:val="clear" w:color="auto" w:fill="F9FBFD"/>
          <w:lang w:val="en-US"/>
        </w:rPr>
        <w:t>76.</w:t>
      </w:r>
    </w:p>
    <w:p w:rsidR="000033DF" w:rsidRPr="00905B5B" w:rsidRDefault="000033DF" w:rsidP="00D54662">
      <w:pPr>
        <w:pStyle w:val="SemEspaamento"/>
        <w:spacing w:line="360" w:lineRule="auto"/>
        <w:jc w:val="both"/>
        <w:rPr>
          <w:rFonts w:ascii="Times New Roman" w:hAnsi="Times New Roman"/>
          <w:color w:val="000000"/>
          <w:shd w:val="clear" w:color="auto" w:fill="F9FBFD"/>
          <w:lang w:val="en-US"/>
        </w:rPr>
      </w:pPr>
      <w:r w:rsidRPr="00905B5B">
        <w:rPr>
          <w:rFonts w:ascii="Times New Roman" w:hAnsi="Times New Roman"/>
          <w:lang w:val="en-US"/>
        </w:rPr>
        <w:t>1</w:t>
      </w:r>
      <w:r w:rsidR="00545F40" w:rsidRPr="00905B5B">
        <w:rPr>
          <w:rFonts w:ascii="Times New Roman" w:hAnsi="Times New Roman"/>
          <w:lang w:val="en-US"/>
        </w:rPr>
        <w:t>6</w:t>
      </w:r>
      <w:r w:rsidRPr="00905B5B">
        <w:rPr>
          <w:rFonts w:ascii="Times New Roman" w:hAnsi="Times New Roman"/>
          <w:lang w:val="en-US"/>
        </w:rPr>
        <w:t xml:space="preserve"> - </w:t>
      </w:r>
      <w:r w:rsidRPr="00905B5B">
        <w:rPr>
          <w:rFonts w:ascii="Times New Roman" w:hAnsi="Times New Roman"/>
          <w:color w:val="000000"/>
          <w:shd w:val="clear" w:color="auto" w:fill="F9FBFD"/>
          <w:lang w:val="en-US"/>
        </w:rPr>
        <w:t>B</w:t>
      </w:r>
      <w:r w:rsidR="00905B5B">
        <w:rPr>
          <w:rFonts w:ascii="Times New Roman" w:hAnsi="Times New Roman"/>
          <w:color w:val="000000"/>
          <w:shd w:val="clear" w:color="auto" w:fill="F9FBFD"/>
          <w:lang w:val="en-US"/>
        </w:rPr>
        <w:t>erg</w:t>
      </w:r>
      <w:r w:rsidRPr="00905B5B">
        <w:rPr>
          <w:rFonts w:ascii="Times New Roman" w:hAnsi="Times New Roman"/>
          <w:color w:val="000000"/>
          <w:shd w:val="clear" w:color="auto" w:fill="F9FBFD"/>
          <w:lang w:val="en-US"/>
        </w:rPr>
        <w:t xml:space="preserve"> KO, .M</w:t>
      </w:r>
      <w:r w:rsidR="00905B5B">
        <w:rPr>
          <w:rFonts w:ascii="Times New Roman" w:hAnsi="Times New Roman"/>
          <w:color w:val="000000"/>
          <w:shd w:val="clear" w:color="auto" w:fill="F9FBFD"/>
          <w:lang w:val="en-US"/>
        </w:rPr>
        <w:t>aki</w:t>
      </w:r>
      <w:r w:rsidRPr="00905B5B">
        <w:rPr>
          <w:rFonts w:ascii="Times New Roman" w:hAnsi="Times New Roman"/>
          <w:color w:val="000000"/>
          <w:shd w:val="clear" w:color="auto" w:fill="F9FBFD"/>
          <w:lang w:val="en-US"/>
        </w:rPr>
        <w:t xml:space="preserve"> </w:t>
      </w:r>
      <w:proofErr w:type="gramStart"/>
      <w:r w:rsidRPr="00905B5B">
        <w:rPr>
          <w:rFonts w:ascii="Times New Roman" w:hAnsi="Times New Roman"/>
          <w:color w:val="000000"/>
          <w:shd w:val="clear" w:color="auto" w:fill="F9FBFD"/>
          <w:lang w:val="en-US"/>
        </w:rPr>
        <w:t>BE</w:t>
      </w:r>
      <w:proofErr w:type="gramEnd"/>
      <w:r w:rsidRPr="00905B5B">
        <w:rPr>
          <w:rFonts w:ascii="Times New Roman" w:hAnsi="Times New Roman"/>
          <w:color w:val="000000"/>
          <w:shd w:val="clear" w:color="auto" w:fill="F9FBFD"/>
          <w:lang w:val="en-US"/>
        </w:rPr>
        <w:t>, W</w:t>
      </w:r>
      <w:r w:rsidR="00905B5B">
        <w:rPr>
          <w:rFonts w:ascii="Times New Roman" w:hAnsi="Times New Roman"/>
          <w:color w:val="000000"/>
          <w:shd w:val="clear" w:color="auto" w:fill="F9FBFD"/>
          <w:lang w:val="en-US"/>
        </w:rPr>
        <w:t>illiams</w:t>
      </w:r>
      <w:r w:rsidRPr="00905B5B">
        <w:rPr>
          <w:rFonts w:ascii="Times New Roman" w:hAnsi="Times New Roman"/>
          <w:color w:val="000000"/>
          <w:shd w:val="clear" w:color="auto" w:fill="F9FBFD"/>
          <w:lang w:val="en-US"/>
        </w:rPr>
        <w:t xml:space="preserve"> JI, H</w:t>
      </w:r>
      <w:r w:rsidR="00905B5B">
        <w:rPr>
          <w:rFonts w:ascii="Times New Roman" w:hAnsi="Times New Roman"/>
          <w:color w:val="000000"/>
          <w:shd w:val="clear" w:color="auto" w:fill="F9FBFD"/>
          <w:lang w:val="en-US"/>
        </w:rPr>
        <w:t>oliday</w:t>
      </w:r>
      <w:r w:rsidRPr="00905B5B">
        <w:rPr>
          <w:rFonts w:ascii="Times New Roman" w:hAnsi="Times New Roman"/>
          <w:color w:val="000000"/>
          <w:shd w:val="clear" w:color="auto" w:fill="F9FBFD"/>
          <w:lang w:val="en-US"/>
        </w:rPr>
        <w:t xml:space="preserve"> PJ, W</w:t>
      </w:r>
      <w:r w:rsidR="00905B5B">
        <w:rPr>
          <w:rFonts w:ascii="Times New Roman" w:hAnsi="Times New Roman"/>
          <w:color w:val="000000"/>
          <w:shd w:val="clear" w:color="auto" w:fill="F9FBFD"/>
          <w:lang w:val="en-US"/>
        </w:rPr>
        <w:t>ood-</w:t>
      </w:r>
      <w:proofErr w:type="spellStart"/>
      <w:r w:rsidR="00905B5B">
        <w:rPr>
          <w:rFonts w:ascii="Times New Roman" w:hAnsi="Times New Roman"/>
          <w:color w:val="000000"/>
          <w:shd w:val="clear" w:color="auto" w:fill="F9FBFD"/>
          <w:lang w:val="en-US"/>
        </w:rPr>
        <w:t>Dauphinee</w:t>
      </w:r>
      <w:proofErr w:type="spellEnd"/>
      <w:r w:rsidRPr="00905B5B">
        <w:rPr>
          <w:rFonts w:ascii="Times New Roman" w:hAnsi="Times New Roman"/>
          <w:color w:val="000000"/>
          <w:shd w:val="clear" w:color="auto" w:fill="F9FBFD"/>
          <w:lang w:val="en-US"/>
        </w:rPr>
        <w:t xml:space="preserve"> SL. Clinical and laboratory measures of postural balance in an elderly population. </w:t>
      </w:r>
      <w:proofErr w:type="gramStart"/>
      <w:r w:rsidRPr="00905B5B">
        <w:rPr>
          <w:rFonts w:ascii="Times New Roman" w:hAnsi="Times New Roman"/>
          <w:color w:val="000000"/>
          <w:shd w:val="clear" w:color="auto" w:fill="F9FBFD"/>
          <w:lang w:val="en-US"/>
        </w:rPr>
        <w:t>Archives of Physical Me</w:t>
      </w:r>
      <w:r w:rsidR="00905B5B">
        <w:rPr>
          <w:rFonts w:ascii="Times New Roman" w:hAnsi="Times New Roman"/>
          <w:color w:val="000000"/>
          <w:shd w:val="clear" w:color="auto" w:fill="F9FBFD"/>
          <w:lang w:val="en-US"/>
        </w:rPr>
        <w:t>dicine and Rehabilitation.</w:t>
      </w:r>
      <w:proofErr w:type="gramEnd"/>
      <w:r w:rsidR="00905B5B">
        <w:rPr>
          <w:rFonts w:ascii="Times New Roman" w:hAnsi="Times New Roman"/>
          <w:color w:val="000000"/>
          <w:shd w:val="clear" w:color="auto" w:fill="F9FBFD"/>
          <w:lang w:val="en-US"/>
        </w:rPr>
        <w:t xml:space="preserve"> </w:t>
      </w:r>
      <w:proofErr w:type="gramStart"/>
      <w:r w:rsidR="00905B5B">
        <w:rPr>
          <w:rFonts w:ascii="Times New Roman" w:hAnsi="Times New Roman"/>
          <w:color w:val="000000"/>
          <w:shd w:val="clear" w:color="auto" w:fill="F9FBFD"/>
          <w:lang w:val="en-US"/>
        </w:rPr>
        <w:t>1992;</w:t>
      </w:r>
      <w:r w:rsidRPr="00905B5B">
        <w:rPr>
          <w:rFonts w:ascii="Times New Roman" w:hAnsi="Times New Roman"/>
          <w:color w:val="000000"/>
          <w:shd w:val="clear" w:color="auto" w:fill="F9FBFD"/>
          <w:lang w:val="en-US"/>
        </w:rPr>
        <w:t xml:space="preserve"> 73:1073-80.</w:t>
      </w:r>
      <w:proofErr w:type="gramEnd"/>
    </w:p>
    <w:p w:rsidR="000033DF" w:rsidRPr="00E72E07" w:rsidRDefault="000033DF" w:rsidP="00D54662">
      <w:pPr>
        <w:pStyle w:val="SemEspaamento"/>
        <w:spacing w:line="360" w:lineRule="auto"/>
        <w:jc w:val="both"/>
        <w:rPr>
          <w:rFonts w:ascii="Times New Roman" w:hAnsi="Times New Roman"/>
          <w:lang w:val="en-US"/>
        </w:rPr>
      </w:pPr>
      <w:r w:rsidRPr="00905B5B">
        <w:rPr>
          <w:rFonts w:ascii="Times New Roman" w:hAnsi="Times New Roman"/>
          <w:lang w:val="en-US"/>
        </w:rPr>
        <w:t>1</w:t>
      </w:r>
      <w:r w:rsidR="00545F40" w:rsidRPr="00905B5B">
        <w:rPr>
          <w:rFonts w:ascii="Times New Roman" w:hAnsi="Times New Roman"/>
          <w:lang w:val="en-US"/>
        </w:rPr>
        <w:t xml:space="preserve">7 </w:t>
      </w:r>
      <w:r w:rsidR="00905B5B">
        <w:rPr>
          <w:rFonts w:ascii="Times New Roman" w:hAnsi="Times New Roman"/>
          <w:lang w:val="en-US"/>
        </w:rPr>
        <w:t>–</w:t>
      </w:r>
      <w:r w:rsidRPr="00905B5B">
        <w:rPr>
          <w:rFonts w:ascii="Times New Roman" w:hAnsi="Times New Roman"/>
          <w:lang w:val="en-US"/>
        </w:rPr>
        <w:t xml:space="preserve"> </w:t>
      </w:r>
      <w:proofErr w:type="spellStart"/>
      <w:r w:rsidRPr="00905B5B">
        <w:rPr>
          <w:rFonts w:ascii="Times New Roman" w:hAnsi="Times New Roman"/>
          <w:lang w:val="en-US"/>
        </w:rPr>
        <w:t>F</w:t>
      </w:r>
      <w:r w:rsidR="00905B5B">
        <w:rPr>
          <w:rFonts w:ascii="Times New Roman" w:hAnsi="Times New Roman"/>
          <w:lang w:val="en-US"/>
        </w:rPr>
        <w:t>ugl</w:t>
      </w:r>
      <w:proofErr w:type="spellEnd"/>
      <w:r w:rsidR="00905B5B">
        <w:rPr>
          <w:rFonts w:ascii="Times New Roman" w:hAnsi="Times New Roman"/>
          <w:lang w:val="en-US"/>
        </w:rPr>
        <w:t>-Meyer</w:t>
      </w:r>
      <w:r w:rsidRPr="00E72E07">
        <w:rPr>
          <w:rFonts w:ascii="Times New Roman" w:hAnsi="Times New Roman"/>
          <w:lang w:val="en-US"/>
        </w:rPr>
        <w:t xml:space="preserve"> AR, </w:t>
      </w:r>
      <w:proofErr w:type="spellStart"/>
      <w:r w:rsidRPr="00E72E07">
        <w:rPr>
          <w:rFonts w:ascii="Times New Roman" w:hAnsi="Times New Roman"/>
          <w:lang w:val="en-US"/>
        </w:rPr>
        <w:t>J</w:t>
      </w:r>
      <w:r w:rsidR="00905B5B">
        <w:rPr>
          <w:rFonts w:ascii="Times New Roman" w:hAnsi="Times New Roman"/>
          <w:lang w:val="en-US"/>
        </w:rPr>
        <w:t>aasko</w:t>
      </w:r>
      <w:proofErr w:type="spellEnd"/>
      <w:r w:rsidRPr="00E72E07">
        <w:rPr>
          <w:rFonts w:ascii="Times New Roman" w:hAnsi="Times New Roman"/>
          <w:lang w:val="en-US"/>
        </w:rPr>
        <w:t xml:space="preserve"> L, </w:t>
      </w:r>
      <w:proofErr w:type="spellStart"/>
      <w:r w:rsidRPr="00E72E07">
        <w:rPr>
          <w:rFonts w:ascii="Times New Roman" w:hAnsi="Times New Roman"/>
          <w:lang w:val="en-US"/>
        </w:rPr>
        <w:t>L</w:t>
      </w:r>
      <w:r w:rsidR="00905B5B">
        <w:rPr>
          <w:rFonts w:ascii="Times New Roman" w:hAnsi="Times New Roman"/>
          <w:lang w:val="en-US"/>
        </w:rPr>
        <w:t>eyman</w:t>
      </w:r>
      <w:proofErr w:type="spellEnd"/>
      <w:r w:rsidRPr="00E72E07">
        <w:rPr>
          <w:rFonts w:ascii="Times New Roman" w:hAnsi="Times New Roman"/>
          <w:lang w:val="en-US"/>
        </w:rPr>
        <w:t xml:space="preserve"> L, O</w:t>
      </w:r>
      <w:r w:rsidR="00905B5B">
        <w:rPr>
          <w:rFonts w:ascii="Times New Roman" w:hAnsi="Times New Roman"/>
          <w:lang w:val="en-US"/>
        </w:rPr>
        <w:t xml:space="preserve">lsson </w:t>
      </w:r>
      <w:r w:rsidRPr="00E72E07">
        <w:rPr>
          <w:rFonts w:ascii="Times New Roman" w:hAnsi="Times New Roman"/>
          <w:lang w:val="en-US"/>
        </w:rPr>
        <w:t xml:space="preserve">S, </w:t>
      </w:r>
      <w:proofErr w:type="spellStart"/>
      <w:r w:rsidRPr="00E72E07">
        <w:rPr>
          <w:rFonts w:ascii="Times New Roman" w:hAnsi="Times New Roman"/>
          <w:lang w:val="en-US"/>
        </w:rPr>
        <w:t>S</w:t>
      </w:r>
      <w:r w:rsidR="00905B5B">
        <w:rPr>
          <w:rFonts w:ascii="Times New Roman" w:hAnsi="Times New Roman"/>
          <w:lang w:val="en-US"/>
        </w:rPr>
        <w:t>teglind</w:t>
      </w:r>
      <w:proofErr w:type="spellEnd"/>
      <w:r w:rsidRPr="00E72E07">
        <w:rPr>
          <w:rFonts w:ascii="Times New Roman" w:hAnsi="Times New Roman"/>
          <w:lang w:val="en-US"/>
        </w:rPr>
        <w:t xml:space="preserve"> S. The </w:t>
      </w:r>
      <w:proofErr w:type="spellStart"/>
      <w:r w:rsidRPr="00E72E07">
        <w:rPr>
          <w:rFonts w:ascii="Times New Roman" w:hAnsi="Times New Roman"/>
          <w:lang w:val="en-US"/>
        </w:rPr>
        <w:t>poststroke</w:t>
      </w:r>
      <w:proofErr w:type="spellEnd"/>
      <w:r w:rsidRPr="00E72E07">
        <w:rPr>
          <w:rFonts w:ascii="Times New Roman" w:hAnsi="Times New Roman"/>
          <w:lang w:val="en-US"/>
        </w:rPr>
        <w:t xml:space="preserve"> </w:t>
      </w:r>
      <w:proofErr w:type="spellStart"/>
      <w:r w:rsidRPr="00E72E07">
        <w:rPr>
          <w:rFonts w:ascii="Times New Roman" w:hAnsi="Times New Roman"/>
          <w:lang w:val="en-US"/>
        </w:rPr>
        <w:t>hemiparetic</w:t>
      </w:r>
      <w:proofErr w:type="spellEnd"/>
      <w:r w:rsidRPr="00E72E07">
        <w:rPr>
          <w:rFonts w:ascii="Times New Roman" w:hAnsi="Times New Roman"/>
          <w:lang w:val="en-US"/>
        </w:rPr>
        <w:t xml:space="preserve"> patients: a method for evaluation of physical performance. </w:t>
      </w:r>
      <w:proofErr w:type="gramStart"/>
      <w:r w:rsidRPr="00E72E07">
        <w:rPr>
          <w:rFonts w:ascii="Times New Roman" w:hAnsi="Times New Roman"/>
          <w:lang w:val="en-US"/>
        </w:rPr>
        <w:t>Scandinavian Journal o</w:t>
      </w:r>
      <w:r w:rsidR="00905B5B">
        <w:rPr>
          <w:rFonts w:ascii="Times New Roman" w:hAnsi="Times New Roman"/>
          <w:lang w:val="en-US"/>
        </w:rPr>
        <w:t>f Rehabilitation Medicine.</w:t>
      </w:r>
      <w:proofErr w:type="gramEnd"/>
      <w:r w:rsidR="00905B5B">
        <w:rPr>
          <w:rFonts w:ascii="Times New Roman" w:hAnsi="Times New Roman"/>
          <w:lang w:val="en-US"/>
        </w:rPr>
        <w:t xml:space="preserve"> </w:t>
      </w:r>
      <w:proofErr w:type="gramStart"/>
      <w:r w:rsidR="00905B5B">
        <w:rPr>
          <w:rFonts w:ascii="Times New Roman" w:hAnsi="Times New Roman"/>
          <w:lang w:val="en-US"/>
        </w:rPr>
        <w:t>1975;</w:t>
      </w:r>
      <w:r w:rsidRPr="00E72E07">
        <w:rPr>
          <w:rFonts w:ascii="Times New Roman" w:hAnsi="Times New Roman"/>
          <w:lang w:val="en-US"/>
        </w:rPr>
        <w:t xml:space="preserve"> 7:13-31.</w:t>
      </w:r>
      <w:proofErr w:type="gramEnd"/>
    </w:p>
    <w:p w:rsidR="000033DF" w:rsidRPr="00E72E07" w:rsidRDefault="000033DF" w:rsidP="00D54662">
      <w:pPr>
        <w:pStyle w:val="SemEspaamento"/>
        <w:spacing w:line="360" w:lineRule="auto"/>
        <w:jc w:val="both"/>
        <w:rPr>
          <w:rStyle w:val="apple-style-span"/>
          <w:rFonts w:ascii="Times New Roman" w:hAnsi="Times New Roman"/>
          <w:color w:val="000000"/>
          <w:shd w:val="clear" w:color="auto" w:fill="F9FBFD"/>
          <w:lang w:val="en-US"/>
        </w:rPr>
      </w:pPr>
      <w:r w:rsidRPr="000033DF">
        <w:rPr>
          <w:rFonts w:ascii="Times New Roman" w:hAnsi="Times New Roman"/>
          <w:lang w:val="en-US"/>
        </w:rPr>
        <w:lastRenderedPageBreak/>
        <w:t>1</w:t>
      </w:r>
      <w:r w:rsidR="00545F40">
        <w:rPr>
          <w:rFonts w:ascii="Times New Roman" w:hAnsi="Times New Roman"/>
          <w:lang w:val="en-US"/>
        </w:rPr>
        <w:t>8</w:t>
      </w:r>
      <w:r>
        <w:rPr>
          <w:rFonts w:ascii="Times New Roman" w:hAnsi="Times New Roman"/>
          <w:lang w:val="en-US"/>
        </w:rPr>
        <w:t xml:space="preserve"> -</w:t>
      </w:r>
      <w:r w:rsidRPr="00E72E07">
        <w:rPr>
          <w:rFonts w:ascii="Times New Roman" w:hAnsi="Times New Roman"/>
          <w:lang w:val="en-US"/>
        </w:rPr>
        <w:t xml:space="preserve"> </w:t>
      </w:r>
      <w:proofErr w:type="spellStart"/>
      <w:r w:rsidRPr="00E72E07">
        <w:rPr>
          <w:rFonts w:ascii="Times New Roman" w:hAnsi="Times New Roman"/>
          <w:shd w:val="clear" w:color="auto" w:fill="F9FBFD"/>
          <w:lang w:val="en-US"/>
        </w:rPr>
        <w:t>M</w:t>
      </w:r>
      <w:r w:rsidR="00680D41">
        <w:rPr>
          <w:rFonts w:ascii="Times New Roman" w:hAnsi="Times New Roman"/>
          <w:shd w:val="clear" w:color="auto" w:fill="F9FBFD"/>
          <w:lang w:val="en-US"/>
        </w:rPr>
        <w:t>ehrholz</w:t>
      </w:r>
      <w:proofErr w:type="spellEnd"/>
      <w:r w:rsidRPr="00E72E07">
        <w:rPr>
          <w:rFonts w:ascii="Times New Roman" w:hAnsi="Times New Roman"/>
          <w:shd w:val="clear" w:color="auto" w:fill="F9FBFD"/>
          <w:lang w:val="en-US"/>
        </w:rPr>
        <w:t xml:space="preserve"> J, W</w:t>
      </w:r>
      <w:r w:rsidR="00680D41">
        <w:rPr>
          <w:rFonts w:ascii="Times New Roman" w:hAnsi="Times New Roman"/>
          <w:shd w:val="clear" w:color="auto" w:fill="F9FBFD"/>
          <w:lang w:val="en-US"/>
        </w:rPr>
        <w:t>agner</w:t>
      </w:r>
      <w:r w:rsidRPr="00E72E07">
        <w:rPr>
          <w:rFonts w:ascii="Times New Roman" w:hAnsi="Times New Roman"/>
          <w:shd w:val="clear" w:color="auto" w:fill="F9FBFD"/>
          <w:lang w:val="en-US"/>
        </w:rPr>
        <w:t xml:space="preserve"> K, </w:t>
      </w:r>
      <w:proofErr w:type="spellStart"/>
      <w:r w:rsidRPr="00E72E07">
        <w:rPr>
          <w:rFonts w:ascii="Times New Roman" w:hAnsi="Times New Roman"/>
          <w:shd w:val="clear" w:color="auto" w:fill="F9FBFD"/>
          <w:lang w:val="en-US"/>
        </w:rPr>
        <w:t>R</w:t>
      </w:r>
      <w:r w:rsidR="00680D41">
        <w:rPr>
          <w:rFonts w:ascii="Times New Roman" w:hAnsi="Times New Roman"/>
          <w:shd w:val="clear" w:color="auto" w:fill="F9FBFD"/>
          <w:lang w:val="en-US"/>
        </w:rPr>
        <w:t>utte</w:t>
      </w:r>
      <w:proofErr w:type="spellEnd"/>
      <w:r w:rsidRPr="00E72E07">
        <w:rPr>
          <w:rFonts w:ascii="Times New Roman" w:hAnsi="Times New Roman"/>
          <w:shd w:val="clear" w:color="auto" w:fill="F9FBFD"/>
          <w:lang w:val="en-US"/>
        </w:rPr>
        <w:t xml:space="preserve"> K, </w:t>
      </w:r>
      <w:proofErr w:type="spellStart"/>
      <w:r w:rsidRPr="00E72E07">
        <w:rPr>
          <w:rFonts w:ascii="Times New Roman" w:hAnsi="Times New Roman"/>
          <w:shd w:val="clear" w:color="auto" w:fill="F9FBFD"/>
          <w:lang w:val="en-US"/>
        </w:rPr>
        <w:t>M</w:t>
      </w:r>
      <w:r w:rsidR="00680D41">
        <w:rPr>
          <w:rFonts w:ascii="Times New Roman" w:hAnsi="Times New Roman"/>
          <w:shd w:val="clear" w:color="auto" w:fill="F9FBFD"/>
          <w:lang w:val="en-US"/>
        </w:rPr>
        <w:t>eisser</w:t>
      </w:r>
      <w:proofErr w:type="spellEnd"/>
      <w:r w:rsidRPr="00E72E07">
        <w:rPr>
          <w:rFonts w:ascii="Times New Roman" w:hAnsi="Times New Roman"/>
          <w:shd w:val="clear" w:color="auto" w:fill="F9FBFD"/>
          <w:lang w:val="en-US"/>
        </w:rPr>
        <w:t xml:space="preserve"> D, P</w:t>
      </w:r>
      <w:r w:rsidR="00680D41">
        <w:rPr>
          <w:rFonts w:ascii="Times New Roman" w:hAnsi="Times New Roman"/>
          <w:shd w:val="clear" w:color="auto" w:fill="F9FBFD"/>
          <w:lang w:val="en-US"/>
        </w:rPr>
        <w:t>ohl</w:t>
      </w:r>
      <w:r w:rsidRPr="00E72E07">
        <w:rPr>
          <w:rFonts w:ascii="Times New Roman" w:hAnsi="Times New Roman"/>
          <w:shd w:val="clear" w:color="auto" w:fill="F9FBFD"/>
          <w:lang w:val="en-US"/>
        </w:rPr>
        <w:t xml:space="preserve"> M. Predictive validity and responsiveness of the Functional Ambulation Category in </w:t>
      </w:r>
      <w:proofErr w:type="spellStart"/>
      <w:r w:rsidRPr="00E72E07">
        <w:rPr>
          <w:rFonts w:ascii="Times New Roman" w:hAnsi="Times New Roman"/>
          <w:shd w:val="clear" w:color="auto" w:fill="F9FBFD"/>
          <w:lang w:val="en-US"/>
        </w:rPr>
        <w:t>hemiparetic</w:t>
      </w:r>
      <w:proofErr w:type="spellEnd"/>
      <w:r w:rsidRPr="00E72E07">
        <w:rPr>
          <w:rFonts w:ascii="Times New Roman" w:hAnsi="Times New Roman"/>
          <w:shd w:val="clear" w:color="auto" w:fill="F9FBFD"/>
          <w:lang w:val="en-US"/>
        </w:rPr>
        <w:t xml:space="preserve"> patients after stroke. Archives Physica</w:t>
      </w:r>
      <w:r w:rsidR="00680D41">
        <w:rPr>
          <w:rFonts w:ascii="Times New Roman" w:hAnsi="Times New Roman"/>
          <w:shd w:val="clear" w:color="auto" w:fill="F9FBFD"/>
          <w:lang w:val="en-US"/>
        </w:rPr>
        <w:t xml:space="preserve">l Medicine Rehabilitation. </w:t>
      </w:r>
      <w:proofErr w:type="gramStart"/>
      <w:r w:rsidR="00680D41">
        <w:rPr>
          <w:rFonts w:ascii="Times New Roman" w:hAnsi="Times New Roman"/>
          <w:shd w:val="clear" w:color="auto" w:fill="F9FBFD"/>
          <w:lang w:val="en-US"/>
        </w:rPr>
        <w:t>2007;</w:t>
      </w:r>
      <w:r w:rsidRPr="00E72E07">
        <w:rPr>
          <w:rFonts w:ascii="Times New Roman" w:hAnsi="Times New Roman"/>
          <w:shd w:val="clear" w:color="auto" w:fill="F9FBFD"/>
          <w:lang w:val="en-US"/>
        </w:rPr>
        <w:t xml:space="preserve"> 88:1314-9.</w:t>
      </w:r>
      <w:proofErr w:type="gramEnd"/>
    </w:p>
    <w:p w:rsidR="000033DF" w:rsidRDefault="00545F40" w:rsidP="00D54662">
      <w:pPr>
        <w:pStyle w:val="SemEspaamento"/>
        <w:spacing w:line="360" w:lineRule="auto"/>
        <w:jc w:val="both"/>
        <w:rPr>
          <w:rFonts w:ascii="Times New Roman" w:hAnsi="Times New Roman"/>
          <w:sz w:val="24"/>
          <w:szCs w:val="24"/>
          <w:lang w:val="en-US" w:eastAsia="pt-BR"/>
        </w:rPr>
      </w:pPr>
      <w:r>
        <w:rPr>
          <w:rFonts w:ascii="Times New Roman" w:hAnsi="Times New Roman"/>
          <w:spacing w:val="-15"/>
          <w:sz w:val="24"/>
          <w:szCs w:val="24"/>
          <w:lang w:val="en-US"/>
        </w:rPr>
        <w:t>19</w:t>
      </w:r>
      <w:r w:rsidR="000033DF" w:rsidRPr="00412AF3">
        <w:rPr>
          <w:rFonts w:ascii="Times New Roman" w:hAnsi="Times New Roman"/>
          <w:spacing w:val="-15"/>
          <w:sz w:val="24"/>
          <w:szCs w:val="24"/>
          <w:lang w:val="en-US"/>
        </w:rPr>
        <w:t xml:space="preserve"> – </w:t>
      </w:r>
      <w:r w:rsidR="00680D41">
        <w:rPr>
          <w:rFonts w:ascii="Times New Roman" w:hAnsi="Times New Roman"/>
          <w:sz w:val="24"/>
          <w:szCs w:val="24"/>
          <w:lang w:val="en-US" w:eastAsia="pt-BR"/>
        </w:rPr>
        <w:t>Holden MK; Gill KM; Magliozzi</w:t>
      </w:r>
      <w:r w:rsidR="000033DF" w:rsidRPr="00412AF3">
        <w:rPr>
          <w:rFonts w:ascii="Times New Roman" w:hAnsi="Times New Roman"/>
          <w:sz w:val="24"/>
          <w:szCs w:val="24"/>
          <w:lang w:val="en-US" w:eastAsia="pt-BR"/>
        </w:rPr>
        <w:t xml:space="preserve"> MR; Nathan</w:t>
      </w:r>
      <w:r w:rsidR="00680D41">
        <w:rPr>
          <w:rFonts w:ascii="Times New Roman" w:hAnsi="Times New Roman"/>
          <w:sz w:val="24"/>
          <w:szCs w:val="24"/>
          <w:lang w:val="en-US" w:eastAsia="pt-BR"/>
        </w:rPr>
        <w:t xml:space="preserve"> J; </w:t>
      </w:r>
      <w:proofErr w:type="spellStart"/>
      <w:r w:rsidR="00680D41">
        <w:rPr>
          <w:rFonts w:ascii="Times New Roman" w:hAnsi="Times New Roman"/>
          <w:sz w:val="24"/>
          <w:szCs w:val="24"/>
          <w:lang w:val="en-US" w:eastAsia="pt-BR"/>
        </w:rPr>
        <w:t>Piehl</w:t>
      </w:r>
      <w:proofErr w:type="spellEnd"/>
      <w:r w:rsidR="00680D41">
        <w:rPr>
          <w:rFonts w:ascii="Times New Roman" w:hAnsi="Times New Roman"/>
          <w:sz w:val="24"/>
          <w:szCs w:val="24"/>
          <w:lang w:val="en-US" w:eastAsia="pt-BR"/>
        </w:rPr>
        <w:t>-baker</w:t>
      </w:r>
      <w:r w:rsidR="000033DF" w:rsidRPr="00412AF3">
        <w:rPr>
          <w:rFonts w:ascii="Times New Roman" w:hAnsi="Times New Roman"/>
          <w:sz w:val="24"/>
          <w:szCs w:val="24"/>
          <w:lang w:val="en-US" w:eastAsia="pt-BR"/>
        </w:rPr>
        <w:t xml:space="preserve"> L. -Clinical gait assessment in the neurologically impaired. </w:t>
      </w:r>
      <w:proofErr w:type="gramStart"/>
      <w:r w:rsidR="000033DF" w:rsidRPr="00412AF3">
        <w:rPr>
          <w:rFonts w:ascii="Times New Roman" w:hAnsi="Times New Roman"/>
          <w:sz w:val="24"/>
          <w:szCs w:val="24"/>
          <w:lang w:val="en-US" w:eastAsia="pt-BR"/>
        </w:rPr>
        <w:t>Reliability and meaningf</w:t>
      </w:r>
      <w:r w:rsidR="00680D41">
        <w:rPr>
          <w:rFonts w:ascii="Times New Roman" w:hAnsi="Times New Roman"/>
          <w:sz w:val="24"/>
          <w:szCs w:val="24"/>
          <w:lang w:val="en-US" w:eastAsia="pt-BR"/>
        </w:rPr>
        <w:t>ulness.</w:t>
      </w:r>
      <w:proofErr w:type="gramEnd"/>
      <w:r w:rsidR="00680D41">
        <w:rPr>
          <w:rFonts w:ascii="Times New Roman" w:hAnsi="Times New Roman"/>
          <w:sz w:val="24"/>
          <w:szCs w:val="24"/>
          <w:lang w:val="en-US" w:eastAsia="pt-BR"/>
        </w:rPr>
        <w:t xml:space="preserve"> </w:t>
      </w:r>
      <w:proofErr w:type="spellStart"/>
      <w:proofErr w:type="gramStart"/>
      <w:r w:rsidR="00680D41">
        <w:rPr>
          <w:rFonts w:ascii="Times New Roman" w:hAnsi="Times New Roman"/>
          <w:sz w:val="24"/>
          <w:szCs w:val="24"/>
          <w:lang w:val="en-US" w:eastAsia="pt-BR"/>
        </w:rPr>
        <w:t>Phys</w:t>
      </w:r>
      <w:proofErr w:type="spellEnd"/>
      <w:r w:rsidR="00680D41">
        <w:rPr>
          <w:rFonts w:ascii="Times New Roman" w:hAnsi="Times New Roman"/>
          <w:sz w:val="24"/>
          <w:szCs w:val="24"/>
          <w:lang w:val="en-US" w:eastAsia="pt-BR"/>
        </w:rPr>
        <w:t xml:space="preserve"> </w:t>
      </w:r>
      <w:proofErr w:type="spellStart"/>
      <w:r w:rsidR="00680D41">
        <w:rPr>
          <w:rFonts w:ascii="Times New Roman" w:hAnsi="Times New Roman"/>
          <w:sz w:val="24"/>
          <w:szCs w:val="24"/>
          <w:lang w:val="en-US" w:eastAsia="pt-BR"/>
        </w:rPr>
        <w:t>Ther</w:t>
      </w:r>
      <w:proofErr w:type="spellEnd"/>
      <w:r w:rsidR="00680D41">
        <w:rPr>
          <w:rFonts w:ascii="Times New Roman" w:hAnsi="Times New Roman"/>
          <w:sz w:val="24"/>
          <w:szCs w:val="24"/>
          <w:lang w:val="en-US" w:eastAsia="pt-BR"/>
        </w:rPr>
        <w:t xml:space="preserve"> 1984; </w:t>
      </w:r>
      <w:r w:rsidR="000033DF">
        <w:rPr>
          <w:rFonts w:ascii="Times New Roman" w:hAnsi="Times New Roman"/>
          <w:sz w:val="24"/>
          <w:szCs w:val="24"/>
          <w:lang w:val="en-US" w:eastAsia="pt-BR"/>
        </w:rPr>
        <w:t>64:35-40.</w:t>
      </w:r>
      <w:proofErr w:type="gramEnd"/>
    </w:p>
    <w:p w:rsidR="000033DF" w:rsidRPr="00B114CA" w:rsidRDefault="000033DF" w:rsidP="00D54662">
      <w:pPr>
        <w:pStyle w:val="SemEspaamento"/>
        <w:spacing w:line="360" w:lineRule="auto"/>
        <w:jc w:val="both"/>
        <w:rPr>
          <w:rFonts w:ascii="Times New Roman" w:hAnsi="Times New Roman"/>
          <w:sz w:val="24"/>
          <w:szCs w:val="24"/>
          <w:lang w:eastAsia="pt-BR"/>
        </w:rPr>
      </w:pPr>
      <w:r w:rsidRPr="000033DF">
        <w:rPr>
          <w:rFonts w:ascii="Times New Roman" w:hAnsi="Times New Roman"/>
          <w:lang w:val="en-US"/>
        </w:rPr>
        <w:t>2</w:t>
      </w:r>
      <w:r w:rsidR="00545F40">
        <w:rPr>
          <w:rFonts w:ascii="Times New Roman" w:hAnsi="Times New Roman"/>
          <w:lang w:val="en-US"/>
        </w:rPr>
        <w:t>0</w:t>
      </w:r>
      <w:r w:rsidRPr="00E72E07">
        <w:rPr>
          <w:rFonts w:ascii="Times New Roman" w:hAnsi="Times New Roman"/>
          <w:lang w:val="en-US"/>
        </w:rPr>
        <w:t xml:space="preserve"> </w:t>
      </w:r>
      <w:r>
        <w:rPr>
          <w:rFonts w:ascii="Times New Roman" w:hAnsi="Times New Roman"/>
          <w:lang w:val="en-US"/>
        </w:rPr>
        <w:t xml:space="preserve">- </w:t>
      </w:r>
      <w:proofErr w:type="spellStart"/>
      <w:r w:rsidRPr="00E72E07">
        <w:rPr>
          <w:rFonts w:ascii="Times New Roman" w:hAnsi="Times New Roman"/>
          <w:lang w:val="en-US"/>
        </w:rPr>
        <w:t>P</w:t>
      </w:r>
      <w:r w:rsidR="00680D41">
        <w:rPr>
          <w:rFonts w:ascii="Times New Roman" w:hAnsi="Times New Roman"/>
          <w:lang w:val="en-US"/>
        </w:rPr>
        <w:t>odsiadlo</w:t>
      </w:r>
      <w:proofErr w:type="spellEnd"/>
      <w:r w:rsidRPr="00E72E07">
        <w:rPr>
          <w:rFonts w:ascii="Times New Roman" w:hAnsi="Times New Roman"/>
          <w:lang w:val="en-US"/>
        </w:rPr>
        <w:t xml:space="preserve"> D, R</w:t>
      </w:r>
      <w:r w:rsidR="00680D41">
        <w:rPr>
          <w:rFonts w:ascii="Times New Roman" w:hAnsi="Times New Roman"/>
          <w:lang w:val="en-US"/>
        </w:rPr>
        <w:t>ichardson</w:t>
      </w:r>
      <w:r w:rsidRPr="00E72E07">
        <w:rPr>
          <w:rFonts w:ascii="Times New Roman" w:hAnsi="Times New Roman"/>
          <w:lang w:val="en-US"/>
        </w:rPr>
        <w:t xml:space="preserve"> S. The timed up and go: a test of basic mobility for frail persons</w:t>
      </w:r>
      <w:r w:rsidRPr="00E72E07">
        <w:rPr>
          <w:rFonts w:ascii="Times New Roman" w:hAnsi="Times New Roman"/>
          <w:i/>
          <w:iCs/>
          <w:lang w:val="en-US"/>
        </w:rPr>
        <w:t xml:space="preserve">. </w:t>
      </w:r>
      <w:r w:rsidRPr="00E72E07">
        <w:rPr>
          <w:rFonts w:ascii="Times New Roman" w:hAnsi="Times New Roman"/>
        </w:rPr>
        <w:t>Jornal da Am</w:t>
      </w:r>
      <w:r w:rsidR="00680D41">
        <w:rPr>
          <w:rFonts w:ascii="Times New Roman" w:hAnsi="Times New Roman"/>
        </w:rPr>
        <w:t xml:space="preserve">erican </w:t>
      </w:r>
      <w:proofErr w:type="spellStart"/>
      <w:r w:rsidR="00680D41">
        <w:rPr>
          <w:rFonts w:ascii="Times New Roman" w:hAnsi="Times New Roman"/>
        </w:rPr>
        <w:t>Geriatrics</w:t>
      </w:r>
      <w:proofErr w:type="spellEnd"/>
      <w:r w:rsidR="00680D41">
        <w:rPr>
          <w:rFonts w:ascii="Times New Roman" w:hAnsi="Times New Roman"/>
        </w:rPr>
        <w:t xml:space="preserve"> </w:t>
      </w:r>
      <w:proofErr w:type="spellStart"/>
      <w:r w:rsidR="00680D41">
        <w:rPr>
          <w:rFonts w:ascii="Times New Roman" w:hAnsi="Times New Roman"/>
        </w:rPr>
        <w:t>Society</w:t>
      </w:r>
      <w:proofErr w:type="spellEnd"/>
      <w:r w:rsidR="00680D41">
        <w:rPr>
          <w:rFonts w:ascii="Times New Roman" w:hAnsi="Times New Roman"/>
        </w:rPr>
        <w:t>. 1991;</w:t>
      </w:r>
      <w:r w:rsidRPr="00E72E07">
        <w:rPr>
          <w:rFonts w:ascii="Times New Roman" w:hAnsi="Times New Roman"/>
        </w:rPr>
        <w:t xml:space="preserve"> </w:t>
      </w:r>
      <w:proofErr w:type="gramStart"/>
      <w:r w:rsidRPr="00E72E07">
        <w:rPr>
          <w:rFonts w:ascii="Times New Roman" w:hAnsi="Times New Roman"/>
        </w:rPr>
        <w:t>39:142</w:t>
      </w:r>
      <w:proofErr w:type="gramEnd"/>
      <w:r w:rsidRPr="00E72E07">
        <w:rPr>
          <w:rFonts w:ascii="Times New Roman" w:hAnsi="Times New Roman"/>
        </w:rPr>
        <w:t>-8.</w:t>
      </w:r>
    </w:p>
    <w:p w:rsidR="005E37FB" w:rsidRPr="00680D41" w:rsidRDefault="00C15D14" w:rsidP="00D54662">
      <w:pPr>
        <w:pStyle w:val="SemEspaamento"/>
        <w:spacing w:line="360" w:lineRule="auto"/>
        <w:jc w:val="both"/>
        <w:rPr>
          <w:rFonts w:ascii="Times New Roman" w:hAnsi="Times New Roman"/>
        </w:rPr>
      </w:pPr>
      <w:r w:rsidRPr="005810A2">
        <w:rPr>
          <w:rFonts w:ascii="Times New Roman" w:hAnsi="Times New Roman"/>
          <w:color w:val="000000"/>
          <w:shd w:val="clear" w:color="auto" w:fill="F9FBFD"/>
        </w:rPr>
        <w:t>2</w:t>
      </w:r>
      <w:r w:rsidR="00545F40" w:rsidRPr="005810A2">
        <w:rPr>
          <w:rFonts w:ascii="Times New Roman" w:hAnsi="Times New Roman"/>
          <w:color w:val="000000"/>
          <w:shd w:val="clear" w:color="auto" w:fill="F9FBFD"/>
        </w:rPr>
        <w:t>1</w:t>
      </w:r>
      <w:r w:rsidRPr="005810A2">
        <w:rPr>
          <w:rFonts w:ascii="Times New Roman" w:hAnsi="Times New Roman"/>
          <w:color w:val="000000"/>
          <w:shd w:val="clear" w:color="auto" w:fill="F9FBFD"/>
        </w:rPr>
        <w:t xml:space="preserve"> </w:t>
      </w:r>
      <w:r w:rsidR="00303455" w:rsidRPr="005810A2">
        <w:rPr>
          <w:rFonts w:ascii="Times New Roman" w:hAnsi="Times New Roman"/>
          <w:color w:val="000000"/>
          <w:shd w:val="clear" w:color="auto" w:fill="F9FBFD"/>
        </w:rPr>
        <w:t>–</w:t>
      </w:r>
      <w:r w:rsidR="00D623B4" w:rsidRPr="005810A2">
        <w:rPr>
          <w:rFonts w:ascii="Times New Roman" w:hAnsi="Times New Roman"/>
          <w:color w:val="000000"/>
          <w:shd w:val="clear" w:color="auto" w:fill="F9FBFD"/>
        </w:rPr>
        <w:t xml:space="preserve"> </w:t>
      </w:r>
      <w:r w:rsidR="00303455">
        <w:rPr>
          <w:rFonts w:ascii="Times New Roman" w:hAnsi="Times New Roman"/>
          <w:color w:val="000000"/>
          <w:shd w:val="clear" w:color="auto" w:fill="F9FBFD"/>
        </w:rPr>
        <w:t>C</w:t>
      </w:r>
      <w:r w:rsidR="00680D41">
        <w:rPr>
          <w:rFonts w:ascii="Times New Roman" w:hAnsi="Times New Roman"/>
          <w:color w:val="000000"/>
          <w:shd w:val="clear" w:color="auto" w:fill="F9FBFD"/>
        </w:rPr>
        <w:t>arvalho</w:t>
      </w:r>
      <w:r w:rsidR="00303455">
        <w:rPr>
          <w:rFonts w:ascii="Times New Roman" w:hAnsi="Times New Roman"/>
          <w:color w:val="000000"/>
          <w:shd w:val="clear" w:color="auto" w:fill="F9FBFD"/>
        </w:rPr>
        <w:t xml:space="preserve"> JJF, </w:t>
      </w:r>
      <w:proofErr w:type="spellStart"/>
      <w:r w:rsidR="00303455">
        <w:rPr>
          <w:rFonts w:ascii="Times New Roman" w:hAnsi="Times New Roman"/>
          <w:color w:val="000000"/>
          <w:shd w:val="clear" w:color="auto" w:fill="F9FBFD"/>
        </w:rPr>
        <w:t>A</w:t>
      </w:r>
      <w:r w:rsidR="00680D41">
        <w:rPr>
          <w:rFonts w:ascii="Times New Roman" w:hAnsi="Times New Roman"/>
          <w:color w:val="000000"/>
          <w:shd w:val="clear" w:color="auto" w:fill="F9FBFD"/>
        </w:rPr>
        <w:t>alvez</w:t>
      </w:r>
      <w:proofErr w:type="spellEnd"/>
      <w:r w:rsidR="00303455">
        <w:rPr>
          <w:rFonts w:ascii="Times New Roman" w:hAnsi="Times New Roman"/>
          <w:color w:val="000000"/>
          <w:shd w:val="clear" w:color="auto" w:fill="F9FBFD"/>
        </w:rPr>
        <w:t xml:space="preserve"> MB, V</w:t>
      </w:r>
      <w:r w:rsidR="00680D41">
        <w:rPr>
          <w:rFonts w:ascii="Times New Roman" w:hAnsi="Times New Roman"/>
          <w:color w:val="000000"/>
          <w:shd w:val="clear" w:color="auto" w:fill="F9FBFD"/>
        </w:rPr>
        <w:t>iana</w:t>
      </w:r>
      <w:r w:rsidR="00303455">
        <w:rPr>
          <w:rFonts w:ascii="Times New Roman" w:hAnsi="Times New Roman"/>
          <w:color w:val="000000"/>
          <w:shd w:val="clear" w:color="auto" w:fill="F9FBFD"/>
        </w:rPr>
        <w:t xml:space="preserve"> GAA, M</w:t>
      </w:r>
      <w:r w:rsidR="00680D41">
        <w:rPr>
          <w:rFonts w:ascii="Times New Roman" w:hAnsi="Times New Roman"/>
          <w:color w:val="000000"/>
          <w:shd w:val="clear" w:color="auto" w:fill="F9FBFD"/>
        </w:rPr>
        <w:t>achado</w:t>
      </w:r>
      <w:r w:rsidR="00303455">
        <w:rPr>
          <w:rFonts w:ascii="Times New Roman" w:hAnsi="Times New Roman"/>
          <w:color w:val="000000"/>
          <w:shd w:val="clear" w:color="auto" w:fill="F9FBFD"/>
        </w:rPr>
        <w:t xml:space="preserve"> CB, S</w:t>
      </w:r>
      <w:r w:rsidR="00680D41">
        <w:rPr>
          <w:rFonts w:ascii="Times New Roman" w:hAnsi="Times New Roman"/>
          <w:color w:val="000000"/>
          <w:shd w:val="clear" w:color="auto" w:fill="F9FBFD"/>
        </w:rPr>
        <w:t>antos</w:t>
      </w:r>
      <w:r w:rsidR="00303455">
        <w:rPr>
          <w:rFonts w:ascii="Times New Roman" w:hAnsi="Times New Roman"/>
          <w:color w:val="000000"/>
          <w:shd w:val="clear" w:color="auto" w:fill="F9FBFD"/>
        </w:rPr>
        <w:t xml:space="preserve"> BFC, </w:t>
      </w:r>
      <w:proofErr w:type="spellStart"/>
      <w:r w:rsidR="00303455">
        <w:rPr>
          <w:rFonts w:ascii="Times New Roman" w:hAnsi="Times New Roman"/>
          <w:color w:val="000000"/>
          <w:shd w:val="clear" w:color="auto" w:fill="F9FBFD"/>
        </w:rPr>
        <w:t>K</w:t>
      </w:r>
      <w:r w:rsidR="00680D41">
        <w:rPr>
          <w:rFonts w:ascii="Times New Roman" w:hAnsi="Times New Roman"/>
          <w:color w:val="000000"/>
          <w:shd w:val="clear" w:color="auto" w:fill="F9FBFD"/>
        </w:rPr>
        <w:t>anamura</w:t>
      </w:r>
      <w:proofErr w:type="spellEnd"/>
      <w:r w:rsidR="00303455">
        <w:rPr>
          <w:rFonts w:ascii="Times New Roman" w:hAnsi="Times New Roman"/>
          <w:color w:val="000000"/>
          <w:shd w:val="clear" w:color="auto" w:fill="F9FBFD"/>
        </w:rPr>
        <w:t xml:space="preserve"> AH, </w:t>
      </w:r>
      <w:proofErr w:type="gramStart"/>
      <w:r w:rsidR="00303455">
        <w:rPr>
          <w:rFonts w:ascii="Times New Roman" w:hAnsi="Times New Roman"/>
          <w:color w:val="000000"/>
          <w:shd w:val="clear" w:color="auto" w:fill="F9FBFD"/>
        </w:rPr>
        <w:t>et</w:t>
      </w:r>
      <w:proofErr w:type="gramEnd"/>
      <w:r w:rsidR="00303455">
        <w:rPr>
          <w:rFonts w:ascii="Times New Roman" w:hAnsi="Times New Roman"/>
          <w:color w:val="000000"/>
          <w:shd w:val="clear" w:color="auto" w:fill="F9FBFD"/>
        </w:rPr>
        <w:t xml:space="preserve"> al. </w:t>
      </w:r>
      <w:r w:rsidR="00303455" w:rsidRPr="00303455">
        <w:rPr>
          <w:rFonts w:ascii="Times New Roman" w:hAnsi="Times New Roman"/>
          <w:color w:val="000000"/>
          <w:shd w:val="clear" w:color="auto" w:fill="F9FBFD"/>
          <w:lang w:val="en-US"/>
        </w:rPr>
        <w:t xml:space="preserve">Stroke epidemiology, patterns of management, and outcomes in Fortaleza, </w:t>
      </w:r>
      <w:proofErr w:type="spellStart"/>
      <w:r w:rsidR="00303455" w:rsidRPr="00303455">
        <w:rPr>
          <w:rFonts w:ascii="Times New Roman" w:hAnsi="Times New Roman"/>
          <w:color w:val="000000"/>
          <w:shd w:val="clear" w:color="auto" w:fill="F9FBFD"/>
          <w:lang w:val="en-US"/>
        </w:rPr>
        <w:t>Brasil</w:t>
      </w:r>
      <w:proofErr w:type="spellEnd"/>
      <w:r w:rsidR="00303455" w:rsidRPr="00303455">
        <w:rPr>
          <w:rFonts w:ascii="Times New Roman" w:hAnsi="Times New Roman"/>
          <w:color w:val="000000"/>
          <w:shd w:val="clear" w:color="auto" w:fill="F9FBFD"/>
          <w:lang w:val="en-US"/>
        </w:rPr>
        <w:t xml:space="preserve"> – A hospital-</w:t>
      </w:r>
      <w:r w:rsidR="00303455" w:rsidRPr="00AD20CB">
        <w:rPr>
          <w:rFonts w:ascii="Times New Roman" w:hAnsi="Times New Roman"/>
          <w:color w:val="000000"/>
          <w:shd w:val="clear" w:color="auto" w:fill="F9FBFD"/>
          <w:lang w:val="en-US"/>
        </w:rPr>
        <w:t xml:space="preserve">Based Multicenter Prospective Study. </w:t>
      </w:r>
      <w:proofErr w:type="gramStart"/>
      <w:r w:rsidR="00303455" w:rsidRPr="00AD20CB">
        <w:rPr>
          <w:rFonts w:ascii="Times New Roman" w:hAnsi="Times New Roman"/>
          <w:color w:val="000000"/>
          <w:shd w:val="clear" w:color="auto" w:fill="F9FBFD"/>
          <w:lang w:val="en-US"/>
        </w:rPr>
        <w:t>Stroke.</w:t>
      </w:r>
      <w:proofErr w:type="gramEnd"/>
      <w:r w:rsidR="00303455" w:rsidRPr="00AD20CB">
        <w:rPr>
          <w:rFonts w:ascii="Times New Roman" w:hAnsi="Times New Roman"/>
          <w:color w:val="000000"/>
          <w:shd w:val="clear" w:color="auto" w:fill="F9FBFD"/>
          <w:lang w:val="en-US"/>
        </w:rPr>
        <w:t xml:space="preserve"> </w:t>
      </w:r>
      <w:r w:rsidR="00680D41" w:rsidRPr="00680D41">
        <w:rPr>
          <w:rFonts w:ascii="Times New Roman" w:hAnsi="Times New Roman"/>
          <w:color w:val="000000"/>
          <w:shd w:val="clear" w:color="auto" w:fill="F9FBFD"/>
        </w:rPr>
        <w:t>2011;</w:t>
      </w:r>
      <w:r w:rsidR="00303455" w:rsidRPr="00680D41">
        <w:rPr>
          <w:rFonts w:ascii="Times New Roman" w:hAnsi="Times New Roman"/>
          <w:color w:val="000000"/>
          <w:shd w:val="clear" w:color="auto" w:fill="F9FBFD"/>
        </w:rPr>
        <w:t xml:space="preserve"> </w:t>
      </w:r>
      <w:proofErr w:type="gramStart"/>
      <w:r w:rsidR="00303455" w:rsidRPr="00680D41">
        <w:rPr>
          <w:rFonts w:ascii="Times New Roman" w:hAnsi="Times New Roman"/>
          <w:color w:val="000000"/>
          <w:shd w:val="clear" w:color="auto" w:fill="F9FBFD"/>
        </w:rPr>
        <w:t>42:3341</w:t>
      </w:r>
      <w:proofErr w:type="gramEnd"/>
      <w:r w:rsidR="00303455" w:rsidRPr="00680D41">
        <w:rPr>
          <w:rFonts w:ascii="Times New Roman" w:hAnsi="Times New Roman"/>
          <w:color w:val="000000"/>
          <w:shd w:val="clear" w:color="auto" w:fill="F9FBFD"/>
        </w:rPr>
        <w:t>-6.</w:t>
      </w:r>
    </w:p>
    <w:p w:rsidR="00AD20CB" w:rsidRPr="00AD20CB" w:rsidRDefault="00AD20CB" w:rsidP="00AA0167">
      <w:pPr>
        <w:pStyle w:val="SemEspaamento"/>
        <w:spacing w:line="360" w:lineRule="auto"/>
        <w:jc w:val="both"/>
        <w:rPr>
          <w:rFonts w:ascii="Times New Roman" w:hAnsi="Times New Roman"/>
          <w:color w:val="000000"/>
        </w:rPr>
      </w:pPr>
      <w:r w:rsidRPr="00680D41">
        <w:rPr>
          <w:rFonts w:ascii="Times New Roman" w:hAnsi="Times New Roman"/>
          <w:color w:val="000000"/>
          <w:shd w:val="clear" w:color="auto" w:fill="F9FBFD"/>
          <w:lang w:val="en-US"/>
        </w:rPr>
        <w:t xml:space="preserve">22 </w:t>
      </w:r>
      <w:r w:rsidR="00680D41" w:rsidRPr="00680D41">
        <w:rPr>
          <w:rFonts w:ascii="Times New Roman" w:hAnsi="Times New Roman"/>
          <w:color w:val="000000"/>
          <w:shd w:val="clear" w:color="auto" w:fill="F9FBFD"/>
          <w:lang w:val="en-US"/>
        </w:rPr>
        <w:t>–</w:t>
      </w:r>
      <w:r w:rsidRPr="00680D41">
        <w:rPr>
          <w:rFonts w:ascii="Times New Roman" w:hAnsi="Times New Roman"/>
          <w:color w:val="000000"/>
          <w:shd w:val="clear" w:color="auto" w:fill="F9FBFD"/>
          <w:lang w:val="en-US"/>
        </w:rPr>
        <w:t xml:space="preserve"> </w:t>
      </w:r>
      <w:r w:rsidRPr="00680D41">
        <w:rPr>
          <w:rFonts w:ascii="Times New Roman" w:hAnsi="Times New Roman"/>
          <w:color w:val="000000"/>
          <w:lang w:val="en-US"/>
        </w:rPr>
        <w:t>F</w:t>
      </w:r>
      <w:r w:rsidR="00680D41" w:rsidRPr="00680D41">
        <w:rPr>
          <w:rFonts w:ascii="Times New Roman" w:hAnsi="Times New Roman"/>
          <w:color w:val="000000"/>
          <w:lang w:val="en-US"/>
        </w:rPr>
        <w:t xml:space="preserve">urukawa TS, Mathias TAF, </w:t>
      </w:r>
      <w:proofErr w:type="spellStart"/>
      <w:r w:rsidR="00680D41" w:rsidRPr="00680D41">
        <w:rPr>
          <w:rFonts w:ascii="Times New Roman" w:hAnsi="Times New Roman"/>
          <w:color w:val="000000"/>
          <w:lang w:val="en-US"/>
        </w:rPr>
        <w:t>Marcon</w:t>
      </w:r>
      <w:proofErr w:type="spellEnd"/>
      <w:r w:rsidR="00680D41" w:rsidRPr="00680D41">
        <w:rPr>
          <w:rFonts w:ascii="Times New Roman" w:hAnsi="Times New Roman"/>
          <w:color w:val="000000"/>
          <w:lang w:val="en-US"/>
        </w:rPr>
        <w:t xml:space="preserve"> SS.</w:t>
      </w:r>
      <w:r w:rsidRPr="00680D41">
        <w:rPr>
          <w:rFonts w:ascii="Times New Roman" w:hAnsi="Times New Roman"/>
          <w:color w:val="000000"/>
          <w:lang w:val="en-US"/>
        </w:rPr>
        <w:t xml:space="preserve"> </w:t>
      </w:r>
      <w:r w:rsidRPr="00AD20CB">
        <w:rPr>
          <w:rFonts w:ascii="Times New Roman" w:hAnsi="Times New Roman"/>
          <w:color w:val="000000"/>
        </w:rPr>
        <w:t>Mortalidade por doenças cerebrovasculares por residência e local de ocorrência do óbito: Paraná, Brasil, 2007. Caderno d</w:t>
      </w:r>
      <w:r w:rsidR="00680D41">
        <w:rPr>
          <w:rFonts w:ascii="Times New Roman" w:hAnsi="Times New Roman"/>
          <w:color w:val="000000"/>
        </w:rPr>
        <w:t xml:space="preserve">e Saúde Pública. Rio de Janeiro. 2011; </w:t>
      </w:r>
      <w:proofErr w:type="gramStart"/>
      <w:r w:rsidRPr="00AD20CB">
        <w:rPr>
          <w:rFonts w:ascii="Times New Roman" w:hAnsi="Times New Roman"/>
          <w:color w:val="000000"/>
        </w:rPr>
        <w:t>27</w:t>
      </w:r>
      <w:r w:rsidR="00680D41">
        <w:rPr>
          <w:rFonts w:ascii="Times New Roman" w:hAnsi="Times New Roman"/>
          <w:color w:val="000000"/>
        </w:rPr>
        <w:t>(2):</w:t>
      </w:r>
      <w:proofErr w:type="gramEnd"/>
      <w:r w:rsidRPr="00AD20CB">
        <w:rPr>
          <w:rFonts w:ascii="Times New Roman" w:hAnsi="Times New Roman"/>
          <w:color w:val="000000"/>
        </w:rPr>
        <w:t>327-34</w:t>
      </w:r>
      <w:r w:rsidR="00680D41">
        <w:rPr>
          <w:rFonts w:ascii="Times New Roman" w:hAnsi="Times New Roman"/>
          <w:color w:val="000000"/>
        </w:rPr>
        <w:t>.</w:t>
      </w:r>
    </w:p>
    <w:p w:rsidR="00D623B4" w:rsidRPr="00E72E07" w:rsidRDefault="00C15D14" w:rsidP="00AA0167">
      <w:pPr>
        <w:pStyle w:val="SemEspaamento"/>
        <w:spacing w:line="360" w:lineRule="auto"/>
        <w:jc w:val="both"/>
        <w:rPr>
          <w:rFonts w:ascii="Times New Roman" w:hAnsi="Times New Roman"/>
        </w:rPr>
      </w:pPr>
      <w:r>
        <w:rPr>
          <w:rFonts w:ascii="Times New Roman" w:hAnsi="Times New Roman"/>
          <w:color w:val="000000"/>
          <w:shd w:val="clear" w:color="auto" w:fill="F9FBFD"/>
        </w:rPr>
        <w:t>2</w:t>
      </w:r>
      <w:r w:rsidR="00AD20CB">
        <w:rPr>
          <w:rFonts w:ascii="Times New Roman" w:hAnsi="Times New Roman"/>
          <w:color w:val="000000"/>
          <w:shd w:val="clear" w:color="auto" w:fill="F9FBFD"/>
        </w:rPr>
        <w:t>3</w:t>
      </w:r>
      <w:r>
        <w:rPr>
          <w:rFonts w:ascii="Times New Roman" w:hAnsi="Times New Roman"/>
          <w:color w:val="000000"/>
          <w:shd w:val="clear" w:color="auto" w:fill="F9FBFD"/>
        </w:rPr>
        <w:t xml:space="preserve"> -</w:t>
      </w:r>
      <w:r w:rsidR="00D623B4" w:rsidRPr="00C15D14">
        <w:rPr>
          <w:rFonts w:ascii="Times New Roman" w:hAnsi="Times New Roman"/>
          <w:color w:val="000000"/>
          <w:shd w:val="clear" w:color="auto" w:fill="F9FBFD"/>
        </w:rPr>
        <w:t xml:space="preserve"> </w:t>
      </w:r>
      <w:proofErr w:type="spellStart"/>
      <w:r w:rsidR="00D623B4" w:rsidRPr="00C15D14">
        <w:rPr>
          <w:rFonts w:ascii="Times New Roman" w:hAnsi="Times New Roman"/>
        </w:rPr>
        <w:t>H</w:t>
      </w:r>
      <w:r w:rsidR="00680D41">
        <w:rPr>
          <w:rFonts w:ascii="Times New Roman" w:hAnsi="Times New Roman"/>
        </w:rPr>
        <w:t>ochman</w:t>
      </w:r>
      <w:proofErr w:type="spellEnd"/>
      <w:r w:rsidR="00D623B4" w:rsidRPr="00C15D14">
        <w:rPr>
          <w:rFonts w:ascii="Times New Roman" w:hAnsi="Times New Roman"/>
        </w:rPr>
        <w:t xml:space="preserve"> B, C</w:t>
      </w:r>
      <w:r w:rsidR="00680D41">
        <w:rPr>
          <w:rFonts w:ascii="Times New Roman" w:hAnsi="Times New Roman"/>
        </w:rPr>
        <w:t>oelho</w:t>
      </w:r>
      <w:r w:rsidR="00D623B4" w:rsidRPr="00C15D14">
        <w:rPr>
          <w:rFonts w:ascii="Times New Roman" w:hAnsi="Times New Roman"/>
        </w:rPr>
        <w:t xml:space="preserve"> J, S</w:t>
      </w:r>
      <w:r w:rsidR="00680D41">
        <w:rPr>
          <w:rFonts w:ascii="Times New Roman" w:hAnsi="Times New Roman"/>
        </w:rPr>
        <w:t>egura</w:t>
      </w:r>
      <w:r w:rsidR="00D623B4" w:rsidRPr="00C15D14">
        <w:rPr>
          <w:rFonts w:ascii="Times New Roman" w:hAnsi="Times New Roman"/>
        </w:rPr>
        <w:t xml:space="preserve"> J, </w:t>
      </w:r>
      <w:proofErr w:type="spellStart"/>
      <w:r w:rsidR="00D623B4" w:rsidRPr="00C15D14">
        <w:rPr>
          <w:rFonts w:ascii="Times New Roman" w:hAnsi="Times New Roman"/>
        </w:rPr>
        <w:t>G</w:t>
      </w:r>
      <w:r w:rsidR="00680D41">
        <w:rPr>
          <w:rFonts w:ascii="Times New Roman" w:hAnsi="Times New Roman"/>
        </w:rPr>
        <w:t>alli</w:t>
      </w:r>
      <w:proofErr w:type="spellEnd"/>
      <w:r w:rsidR="00D623B4" w:rsidRPr="00C15D14">
        <w:rPr>
          <w:rFonts w:ascii="Times New Roman" w:hAnsi="Times New Roman"/>
        </w:rPr>
        <w:t xml:space="preserve"> M, </w:t>
      </w:r>
      <w:proofErr w:type="spellStart"/>
      <w:r w:rsidR="00D623B4" w:rsidRPr="00C15D14">
        <w:rPr>
          <w:rFonts w:ascii="Times New Roman" w:hAnsi="Times New Roman"/>
        </w:rPr>
        <w:t>K</w:t>
      </w:r>
      <w:r w:rsidR="00680D41">
        <w:rPr>
          <w:rFonts w:ascii="Times New Roman" w:hAnsi="Times New Roman"/>
        </w:rPr>
        <w:t>etzoian</w:t>
      </w:r>
      <w:proofErr w:type="spellEnd"/>
      <w:r w:rsidR="00D623B4" w:rsidRPr="00C15D14">
        <w:rPr>
          <w:rFonts w:ascii="Times New Roman" w:hAnsi="Times New Roman"/>
        </w:rPr>
        <w:t xml:space="preserve"> C, </w:t>
      </w:r>
      <w:proofErr w:type="spellStart"/>
      <w:r w:rsidR="00D623B4" w:rsidRPr="00C15D14">
        <w:rPr>
          <w:rFonts w:ascii="Times New Roman" w:hAnsi="Times New Roman"/>
        </w:rPr>
        <w:t>P</w:t>
      </w:r>
      <w:r w:rsidR="00680D41">
        <w:rPr>
          <w:rFonts w:ascii="Times New Roman" w:hAnsi="Times New Roman"/>
        </w:rPr>
        <w:t>ebet</w:t>
      </w:r>
      <w:proofErr w:type="spellEnd"/>
      <w:r w:rsidR="00D623B4" w:rsidRPr="00C15D14">
        <w:rPr>
          <w:rFonts w:ascii="Times New Roman" w:hAnsi="Times New Roman"/>
        </w:rPr>
        <w:t xml:space="preserve"> M. </w:t>
      </w:r>
      <w:proofErr w:type="spellStart"/>
      <w:r w:rsidR="00D623B4" w:rsidRPr="00C15D14">
        <w:rPr>
          <w:rFonts w:ascii="Times New Roman" w:hAnsi="Times New Roman"/>
        </w:rPr>
        <w:t>Incidencia</w:t>
      </w:r>
      <w:proofErr w:type="spellEnd"/>
      <w:r w:rsidR="00D623B4" w:rsidRPr="00C15D14">
        <w:rPr>
          <w:rFonts w:ascii="Times New Roman" w:hAnsi="Times New Roman"/>
        </w:rPr>
        <w:t xml:space="preserve"> Del </w:t>
      </w:r>
      <w:proofErr w:type="spellStart"/>
      <w:r w:rsidR="00D623B4" w:rsidRPr="00C15D14">
        <w:rPr>
          <w:rFonts w:ascii="Times New Roman" w:hAnsi="Times New Roman"/>
        </w:rPr>
        <w:t>accidente</w:t>
      </w:r>
      <w:proofErr w:type="spellEnd"/>
      <w:r w:rsidR="00D623B4" w:rsidRPr="00C15D14">
        <w:rPr>
          <w:rFonts w:ascii="Times New Roman" w:hAnsi="Times New Roman"/>
        </w:rPr>
        <w:t xml:space="preserve"> cerebrovascular </w:t>
      </w:r>
      <w:proofErr w:type="spellStart"/>
      <w:r w:rsidR="00D623B4" w:rsidRPr="00C15D14">
        <w:rPr>
          <w:rFonts w:ascii="Times New Roman" w:hAnsi="Times New Roman"/>
        </w:rPr>
        <w:t>en</w:t>
      </w:r>
      <w:proofErr w:type="spellEnd"/>
      <w:r w:rsidR="00D623B4" w:rsidRPr="00C15D14">
        <w:rPr>
          <w:rFonts w:ascii="Times New Roman" w:hAnsi="Times New Roman"/>
        </w:rPr>
        <w:t xml:space="preserve"> </w:t>
      </w:r>
      <w:proofErr w:type="spellStart"/>
      <w:proofErr w:type="gramStart"/>
      <w:r w:rsidR="00D623B4" w:rsidRPr="00C15D14">
        <w:rPr>
          <w:rFonts w:ascii="Times New Roman" w:hAnsi="Times New Roman"/>
        </w:rPr>
        <w:t>la</w:t>
      </w:r>
      <w:proofErr w:type="spellEnd"/>
      <w:proofErr w:type="gramEnd"/>
      <w:r w:rsidR="00D623B4" w:rsidRPr="00C15D14">
        <w:rPr>
          <w:rFonts w:ascii="Times New Roman" w:hAnsi="Times New Roman"/>
        </w:rPr>
        <w:t xml:space="preserve"> </w:t>
      </w:r>
      <w:proofErr w:type="spellStart"/>
      <w:r w:rsidR="00D623B4" w:rsidRPr="00C15D14">
        <w:rPr>
          <w:rFonts w:ascii="Times New Roman" w:hAnsi="Times New Roman"/>
        </w:rPr>
        <w:t>ciudad</w:t>
      </w:r>
      <w:proofErr w:type="spellEnd"/>
      <w:r w:rsidR="00D623B4" w:rsidRPr="00C15D14">
        <w:rPr>
          <w:rFonts w:ascii="Times New Roman" w:hAnsi="Times New Roman"/>
        </w:rPr>
        <w:t xml:space="preserve"> de Rivera, </w:t>
      </w:r>
      <w:proofErr w:type="spellStart"/>
      <w:r w:rsidR="00D623B4" w:rsidRPr="00C15D14">
        <w:rPr>
          <w:rFonts w:ascii="Times New Roman" w:hAnsi="Times New Roman"/>
        </w:rPr>
        <w:t>Uruguay</w:t>
      </w:r>
      <w:proofErr w:type="spellEnd"/>
      <w:r w:rsidR="00D623B4" w:rsidRPr="00C15D14">
        <w:rPr>
          <w:rFonts w:ascii="Times New Roman" w:hAnsi="Times New Roman"/>
        </w:rPr>
        <w:t xml:space="preserve">. </w:t>
      </w:r>
      <w:r w:rsidR="00680D41">
        <w:rPr>
          <w:rFonts w:ascii="Times New Roman" w:hAnsi="Times New Roman"/>
        </w:rPr>
        <w:t>Revista Neurologia. 2006;</w:t>
      </w:r>
      <w:r w:rsidR="00D623B4" w:rsidRPr="00E72E07">
        <w:rPr>
          <w:rFonts w:ascii="Times New Roman" w:hAnsi="Times New Roman"/>
        </w:rPr>
        <w:t xml:space="preserve"> </w:t>
      </w:r>
      <w:proofErr w:type="gramStart"/>
      <w:r w:rsidR="00D623B4" w:rsidRPr="00E72E07">
        <w:rPr>
          <w:rFonts w:ascii="Times New Roman" w:hAnsi="Times New Roman"/>
        </w:rPr>
        <w:t>43(2):</w:t>
      </w:r>
      <w:proofErr w:type="gramEnd"/>
      <w:r w:rsidR="00D623B4" w:rsidRPr="00E72E07">
        <w:rPr>
          <w:rFonts w:ascii="Times New Roman" w:hAnsi="Times New Roman"/>
        </w:rPr>
        <w:t>78-83.</w:t>
      </w:r>
    </w:p>
    <w:p w:rsidR="00D623B4" w:rsidRDefault="00C15D14" w:rsidP="00AA0167">
      <w:pPr>
        <w:pStyle w:val="SemEspaamento"/>
        <w:spacing w:line="360" w:lineRule="auto"/>
        <w:jc w:val="both"/>
        <w:rPr>
          <w:rFonts w:ascii="Times New Roman" w:hAnsi="Times New Roman"/>
        </w:rPr>
      </w:pPr>
      <w:r>
        <w:rPr>
          <w:rFonts w:ascii="Times New Roman" w:hAnsi="Times New Roman"/>
        </w:rPr>
        <w:t>2</w:t>
      </w:r>
      <w:r w:rsidR="00AD20CB">
        <w:rPr>
          <w:rFonts w:ascii="Times New Roman" w:hAnsi="Times New Roman"/>
        </w:rPr>
        <w:t>4</w:t>
      </w:r>
      <w:r>
        <w:rPr>
          <w:rFonts w:ascii="Times New Roman" w:hAnsi="Times New Roman"/>
        </w:rPr>
        <w:t xml:space="preserve"> -</w:t>
      </w:r>
      <w:r w:rsidR="00D623B4" w:rsidRPr="00E72E07">
        <w:rPr>
          <w:rFonts w:ascii="Times New Roman" w:hAnsi="Times New Roman"/>
        </w:rPr>
        <w:t xml:space="preserve"> A</w:t>
      </w:r>
      <w:r w:rsidR="00D54662">
        <w:rPr>
          <w:rFonts w:ascii="Times New Roman" w:hAnsi="Times New Roman"/>
        </w:rPr>
        <w:t>zevedo</w:t>
      </w:r>
      <w:r w:rsidR="00D623B4" w:rsidRPr="00E72E07">
        <w:rPr>
          <w:rFonts w:ascii="Times New Roman" w:hAnsi="Times New Roman"/>
        </w:rPr>
        <w:t xml:space="preserve"> ERFBM, M</w:t>
      </w:r>
      <w:r w:rsidR="00D54662">
        <w:rPr>
          <w:rFonts w:ascii="Times New Roman" w:hAnsi="Times New Roman"/>
        </w:rPr>
        <w:t xml:space="preserve">acedo LS, </w:t>
      </w:r>
      <w:proofErr w:type="spellStart"/>
      <w:r w:rsidR="00D54662">
        <w:rPr>
          <w:rFonts w:ascii="Times New Roman" w:hAnsi="Times New Roman"/>
        </w:rPr>
        <w:t>Paraizo</w:t>
      </w:r>
      <w:proofErr w:type="spellEnd"/>
      <w:r w:rsidR="00D623B4" w:rsidRPr="00E72E07">
        <w:rPr>
          <w:rFonts w:ascii="Times New Roman" w:hAnsi="Times New Roman"/>
        </w:rPr>
        <w:t xml:space="preserve"> MFN, </w:t>
      </w:r>
      <w:proofErr w:type="spellStart"/>
      <w:r w:rsidR="00D623B4" w:rsidRPr="00E72E07">
        <w:rPr>
          <w:rFonts w:ascii="Times New Roman" w:hAnsi="Times New Roman"/>
        </w:rPr>
        <w:t>O</w:t>
      </w:r>
      <w:r w:rsidR="00D54662">
        <w:rPr>
          <w:rFonts w:ascii="Times New Roman" w:hAnsi="Times New Roman"/>
        </w:rPr>
        <w:t>berg</w:t>
      </w:r>
      <w:proofErr w:type="spellEnd"/>
      <w:r w:rsidR="00D623B4" w:rsidRPr="00E72E07">
        <w:rPr>
          <w:rFonts w:ascii="Times New Roman" w:hAnsi="Times New Roman"/>
        </w:rPr>
        <w:t xml:space="preserve"> TD, L</w:t>
      </w:r>
      <w:r w:rsidR="00D54662">
        <w:rPr>
          <w:rFonts w:ascii="Times New Roman" w:hAnsi="Times New Roman"/>
        </w:rPr>
        <w:t>ima</w:t>
      </w:r>
      <w:r w:rsidR="00D623B4" w:rsidRPr="00E72E07">
        <w:rPr>
          <w:rFonts w:ascii="Times New Roman" w:hAnsi="Times New Roman"/>
        </w:rPr>
        <w:t xml:space="preserve"> NMFV, C</w:t>
      </w:r>
      <w:r w:rsidR="00D54662">
        <w:rPr>
          <w:rFonts w:ascii="Times New Roman" w:hAnsi="Times New Roman"/>
        </w:rPr>
        <w:t>acho</w:t>
      </w:r>
      <w:r w:rsidR="00D623B4" w:rsidRPr="00E72E07">
        <w:rPr>
          <w:rFonts w:ascii="Times New Roman" w:hAnsi="Times New Roman"/>
        </w:rPr>
        <w:t xml:space="preserve"> EWA. Correlação do déficit de equilíbrio, comprometimento motor e independência funcional em indivíduos </w:t>
      </w:r>
      <w:proofErr w:type="spellStart"/>
      <w:r w:rsidR="00D623B4" w:rsidRPr="00E72E07">
        <w:rPr>
          <w:rFonts w:ascii="Times New Roman" w:hAnsi="Times New Roman"/>
        </w:rPr>
        <w:t>hemiparéticos</w:t>
      </w:r>
      <w:proofErr w:type="spellEnd"/>
      <w:r w:rsidR="00D623B4" w:rsidRPr="00E72E07">
        <w:rPr>
          <w:rFonts w:ascii="Times New Roman" w:hAnsi="Times New Roman"/>
        </w:rPr>
        <w:t xml:space="preserve"> c</w:t>
      </w:r>
      <w:r w:rsidR="00D54662">
        <w:rPr>
          <w:rFonts w:ascii="Times New Roman" w:hAnsi="Times New Roman"/>
        </w:rPr>
        <w:t xml:space="preserve">rônicos. Acta </w:t>
      </w:r>
      <w:proofErr w:type="spellStart"/>
      <w:r w:rsidR="00D54662">
        <w:rPr>
          <w:rFonts w:ascii="Times New Roman" w:hAnsi="Times New Roman"/>
        </w:rPr>
        <w:t>Fisiatrica</w:t>
      </w:r>
      <w:proofErr w:type="spellEnd"/>
      <w:r w:rsidR="00D54662">
        <w:rPr>
          <w:rFonts w:ascii="Times New Roman" w:hAnsi="Times New Roman"/>
        </w:rPr>
        <w:t xml:space="preserve">. </w:t>
      </w:r>
      <w:proofErr w:type="gramStart"/>
      <w:r w:rsidR="00D54662">
        <w:rPr>
          <w:rFonts w:ascii="Times New Roman" w:hAnsi="Times New Roman"/>
        </w:rPr>
        <w:t>2008;</w:t>
      </w:r>
      <w:proofErr w:type="gramEnd"/>
      <w:r w:rsidR="00D623B4" w:rsidRPr="00E72E07">
        <w:rPr>
          <w:rFonts w:ascii="Times New Roman" w:hAnsi="Times New Roman"/>
        </w:rPr>
        <w:t>15(4):225-8.</w:t>
      </w:r>
    </w:p>
    <w:p w:rsidR="005810A2" w:rsidRDefault="00AD20CB" w:rsidP="00AA0167">
      <w:pPr>
        <w:pStyle w:val="SemEspaamento"/>
        <w:spacing w:line="360" w:lineRule="auto"/>
        <w:jc w:val="both"/>
        <w:rPr>
          <w:rFonts w:ascii="Times New Roman" w:hAnsi="Times New Roman"/>
        </w:rPr>
      </w:pPr>
      <w:r>
        <w:rPr>
          <w:rFonts w:ascii="Times New Roman" w:hAnsi="Times New Roman"/>
        </w:rPr>
        <w:t>25</w:t>
      </w:r>
      <w:r w:rsidR="005810A2">
        <w:rPr>
          <w:rFonts w:ascii="Times New Roman" w:hAnsi="Times New Roman"/>
        </w:rPr>
        <w:t xml:space="preserve"> - </w:t>
      </w:r>
      <w:proofErr w:type="gramStart"/>
      <w:r w:rsidR="005810A2">
        <w:rPr>
          <w:rFonts w:ascii="Times New Roman" w:hAnsi="Times New Roman"/>
        </w:rPr>
        <w:t>S</w:t>
      </w:r>
      <w:r w:rsidR="00D54662">
        <w:rPr>
          <w:rFonts w:ascii="Times New Roman" w:hAnsi="Times New Roman"/>
        </w:rPr>
        <w:t>antos</w:t>
      </w:r>
      <w:r w:rsidR="005810A2">
        <w:rPr>
          <w:rFonts w:ascii="Times New Roman" w:hAnsi="Times New Roman"/>
        </w:rPr>
        <w:t xml:space="preserve"> ABC</w:t>
      </w:r>
      <w:proofErr w:type="gramEnd"/>
      <w:r w:rsidR="005810A2">
        <w:rPr>
          <w:rFonts w:ascii="Times New Roman" w:hAnsi="Times New Roman"/>
        </w:rPr>
        <w:t>, B</w:t>
      </w:r>
      <w:r w:rsidR="00D54662">
        <w:rPr>
          <w:rFonts w:ascii="Times New Roman" w:hAnsi="Times New Roman"/>
        </w:rPr>
        <w:t>arreto</w:t>
      </w:r>
      <w:r w:rsidR="005810A2">
        <w:rPr>
          <w:rFonts w:ascii="Times New Roman" w:hAnsi="Times New Roman"/>
        </w:rPr>
        <w:t xml:space="preserve"> VP, O</w:t>
      </w:r>
      <w:r w:rsidR="00D54662">
        <w:rPr>
          <w:rFonts w:ascii="Times New Roman" w:hAnsi="Times New Roman"/>
        </w:rPr>
        <w:t>liveira</w:t>
      </w:r>
      <w:r w:rsidR="005810A2">
        <w:rPr>
          <w:rFonts w:ascii="Times New Roman" w:hAnsi="Times New Roman"/>
        </w:rPr>
        <w:t xml:space="preserve"> SM, G</w:t>
      </w:r>
      <w:r w:rsidR="00D54662">
        <w:rPr>
          <w:rFonts w:ascii="Times New Roman" w:hAnsi="Times New Roman"/>
        </w:rPr>
        <w:t>omes</w:t>
      </w:r>
      <w:r w:rsidR="005810A2">
        <w:rPr>
          <w:rFonts w:ascii="Times New Roman" w:hAnsi="Times New Roman"/>
        </w:rPr>
        <w:t xml:space="preserve"> CAM, </w:t>
      </w:r>
      <w:proofErr w:type="spellStart"/>
      <w:r w:rsidR="005810A2">
        <w:rPr>
          <w:rFonts w:ascii="Times New Roman" w:hAnsi="Times New Roman"/>
        </w:rPr>
        <w:t>V</w:t>
      </w:r>
      <w:r w:rsidR="00D54662">
        <w:rPr>
          <w:rFonts w:ascii="Times New Roman" w:hAnsi="Times New Roman"/>
        </w:rPr>
        <w:t>ian</w:t>
      </w:r>
      <w:proofErr w:type="spellEnd"/>
      <w:r w:rsidR="005810A2">
        <w:rPr>
          <w:rFonts w:ascii="Times New Roman" w:hAnsi="Times New Roman"/>
        </w:rPr>
        <w:t xml:space="preserve"> KM, B</w:t>
      </w:r>
      <w:r w:rsidR="00D54662">
        <w:rPr>
          <w:rFonts w:ascii="Times New Roman" w:hAnsi="Times New Roman"/>
        </w:rPr>
        <w:t>rasil</w:t>
      </w:r>
      <w:r w:rsidR="005810A2">
        <w:rPr>
          <w:rFonts w:ascii="Times New Roman" w:hAnsi="Times New Roman"/>
        </w:rPr>
        <w:t xml:space="preserve"> BO, A</w:t>
      </w:r>
      <w:r w:rsidR="00D54662">
        <w:rPr>
          <w:rFonts w:ascii="Times New Roman" w:hAnsi="Times New Roman"/>
        </w:rPr>
        <w:t xml:space="preserve">brantes </w:t>
      </w:r>
      <w:r w:rsidR="005810A2">
        <w:rPr>
          <w:rFonts w:ascii="Times New Roman" w:hAnsi="Times New Roman"/>
        </w:rPr>
        <w:t>TG. Perfil epidemiológico da hipertensão arterial sistêmica na população de Cajazeiras, Paraíba. Revista Brasil</w:t>
      </w:r>
      <w:r w:rsidR="00D54662">
        <w:rPr>
          <w:rFonts w:ascii="Times New Roman" w:hAnsi="Times New Roman"/>
        </w:rPr>
        <w:t>eira de Ciências da Saúde. 2013;</w:t>
      </w:r>
      <w:r w:rsidR="005810A2">
        <w:rPr>
          <w:rFonts w:ascii="Times New Roman" w:hAnsi="Times New Roman"/>
        </w:rPr>
        <w:t xml:space="preserve"> </w:t>
      </w:r>
      <w:proofErr w:type="gramStart"/>
      <w:r w:rsidR="005810A2">
        <w:rPr>
          <w:rFonts w:ascii="Times New Roman" w:hAnsi="Times New Roman"/>
        </w:rPr>
        <w:t>17(3):</w:t>
      </w:r>
      <w:proofErr w:type="gramEnd"/>
      <w:r w:rsidR="005810A2">
        <w:rPr>
          <w:rFonts w:ascii="Times New Roman" w:hAnsi="Times New Roman"/>
        </w:rPr>
        <w:t>253-62.</w:t>
      </w:r>
    </w:p>
    <w:p w:rsidR="004F3923" w:rsidRDefault="00AD20CB" w:rsidP="00AA0167">
      <w:pPr>
        <w:pStyle w:val="SemEspaamento"/>
        <w:spacing w:line="360" w:lineRule="auto"/>
        <w:jc w:val="both"/>
        <w:rPr>
          <w:rFonts w:ascii="Times New Roman" w:hAnsi="Times New Roman"/>
        </w:rPr>
      </w:pPr>
      <w:r>
        <w:rPr>
          <w:rFonts w:ascii="Times New Roman" w:hAnsi="Times New Roman"/>
        </w:rPr>
        <w:t>26</w:t>
      </w:r>
      <w:r w:rsidR="004F3923" w:rsidRPr="004F3923">
        <w:rPr>
          <w:rFonts w:ascii="Times New Roman" w:hAnsi="Times New Roman"/>
        </w:rPr>
        <w:t xml:space="preserve"> - </w:t>
      </w:r>
      <w:r w:rsidR="003D2A74">
        <w:rPr>
          <w:rFonts w:ascii="Times New Roman" w:hAnsi="Times New Roman"/>
        </w:rPr>
        <w:t>C</w:t>
      </w:r>
      <w:r w:rsidR="00D54662">
        <w:rPr>
          <w:rFonts w:ascii="Times New Roman" w:hAnsi="Times New Roman"/>
        </w:rPr>
        <w:t>haves</w:t>
      </w:r>
      <w:r w:rsidR="003D2A74">
        <w:rPr>
          <w:rFonts w:ascii="Times New Roman" w:hAnsi="Times New Roman"/>
        </w:rPr>
        <w:t xml:space="preserve"> </w:t>
      </w:r>
      <w:r w:rsidR="004F3923">
        <w:rPr>
          <w:rFonts w:ascii="Times New Roman" w:hAnsi="Times New Roman"/>
        </w:rPr>
        <w:t xml:space="preserve">MLF. Acidente Vascular Encefálico: Conceituação e fatores de risco. Revista Brasileira de Hipertensão. </w:t>
      </w:r>
      <w:proofErr w:type="gramStart"/>
      <w:r w:rsidR="004F3923">
        <w:rPr>
          <w:rFonts w:ascii="Times New Roman" w:hAnsi="Times New Roman"/>
        </w:rPr>
        <w:t>20</w:t>
      </w:r>
      <w:r w:rsidR="00D54662">
        <w:rPr>
          <w:rFonts w:ascii="Times New Roman" w:hAnsi="Times New Roman"/>
        </w:rPr>
        <w:t>00;</w:t>
      </w:r>
      <w:proofErr w:type="gramEnd"/>
      <w:r w:rsidR="004F3923">
        <w:rPr>
          <w:rFonts w:ascii="Times New Roman" w:hAnsi="Times New Roman"/>
        </w:rPr>
        <w:t>7(4):332-8.</w:t>
      </w:r>
    </w:p>
    <w:p w:rsidR="003D2A74" w:rsidRPr="008C32B4" w:rsidRDefault="00AD20CB" w:rsidP="00AA0167">
      <w:pPr>
        <w:pStyle w:val="SemEspaamento"/>
        <w:spacing w:line="360" w:lineRule="auto"/>
        <w:jc w:val="both"/>
        <w:rPr>
          <w:rFonts w:ascii="Arial" w:hAnsi="Arial" w:cs="Arial"/>
          <w:sz w:val="24"/>
          <w:szCs w:val="24"/>
        </w:rPr>
      </w:pPr>
      <w:r>
        <w:rPr>
          <w:rFonts w:ascii="Times New Roman" w:hAnsi="Times New Roman"/>
        </w:rPr>
        <w:t>27</w:t>
      </w:r>
      <w:r w:rsidR="004F3923" w:rsidRPr="003D2A74">
        <w:rPr>
          <w:rFonts w:ascii="Times New Roman" w:hAnsi="Times New Roman"/>
        </w:rPr>
        <w:t xml:space="preserve"> </w:t>
      </w:r>
      <w:r w:rsidR="00D54662">
        <w:rPr>
          <w:rFonts w:ascii="Times New Roman" w:hAnsi="Times New Roman"/>
        </w:rPr>
        <w:t>–</w:t>
      </w:r>
      <w:r w:rsidR="003D2A74" w:rsidRPr="003D2A74">
        <w:rPr>
          <w:rFonts w:ascii="Times New Roman" w:hAnsi="Times New Roman"/>
        </w:rPr>
        <w:t xml:space="preserve"> </w:t>
      </w:r>
      <w:proofErr w:type="spellStart"/>
      <w:r w:rsidR="003D2A74" w:rsidRPr="003D2A74">
        <w:rPr>
          <w:rFonts w:ascii="Times New Roman" w:hAnsi="Times New Roman"/>
        </w:rPr>
        <w:t>P</w:t>
      </w:r>
      <w:r w:rsidR="00D54662">
        <w:rPr>
          <w:rFonts w:ascii="Times New Roman" w:hAnsi="Times New Roman"/>
        </w:rPr>
        <w:t>iassaroli</w:t>
      </w:r>
      <w:proofErr w:type="spellEnd"/>
      <w:r w:rsidR="00D54662">
        <w:rPr>
          <w:rFonts w:ascii="Times New Roman" w:hAnsi="Times New Roman"/>
        </w:rPr>
        <w:t xml:space="preserve"> CAP, </w:t>
      </w:r>
      <w:proofErr w:type="gramStart"/>
      <w:r w:rsidR="003D2A74" w:rsidRPr="003D2A74">
        <w:rPr>
          <w:rFonts w:ascii="Times New Roman" w:hAnsi="Times New Roman"/>
        </w:rPr>
        <w:t>et</w:t>
      </w:r>
      <w:proofErr w:type="gramEnd"/>
      <w:r w:rsidR="003D2A74" w:rsidRPr="003D2A74">
        <w:rPr>
          <w:rFonts w:ascii="Times New Roman" w:hAnsi="Times New Roman"/>
        </w:rPr>
        <w:t xml:space="preserve"> al. Modelos de reabilitação fisioterápica em pacientes adultos com sequelas de AVC isquêmico. </w:t>
      </w:r>
      <w:r w:rsidR="003D2A74" w:rsidRPr="00AA0167">
        <w:rPr>
          <w:rFonts w:ascii="Times New Roman" w:hAnsi="Times New Roman"/>
        </w:rPr>
        <w:t>Revista de Neurociências</w:t>
      </w:r>
      <w:r w:rsidR="003D2A74" w:rsidRPr="003D2A74">
        <w:rPr>
          <w:rFonts w:ascii="Times New Roman" w:hAnsi="Times New Roman"/>
        </w:rPr>
        <w:t xml:space="preserve">. </w:t>
      </w:r>
      <w:r w:rsidR="00AA0167">
        <w:rPr>
          <w:rFonts w:ascii="Times New Roman" w:hAnsi="Times New Roman"/>
        </w:rPr>
        <w:t>2012; 20(1):</w:t>
      </w:r>
      <w:r w:rsidR="00AA0167" w:rsidRPr="003D2A74">
        <w:rPr>
          <w:rFonts w:ascii="Times New Roman" w:hAnsi="Times New Roman"/>
        </w:rPr>
        <w:t xml:space="preserve"> </w:t>
      </w:r>
      <w:r w:rsidR="003D2A74" w:rsidRPr="003D2A74">
        <w:rPr>
          <w:rFonts w:ascii="Times New Roman" w:hAnsi="Times New Roman"/>
        </w:rPr>
        <w:t>128-137</w:t>
      </w:r>
      <w:r w:rsidR="00AA0167">
        <w:rPr>
          <w:rFonts w:ascii="Times New Roman" w:hAnsi="Times New Roman"/>
        </w:rPr>
        <w:t>.</w:t>
      </w:r>
    </w:p>
    <w:p w:rsidR="00D623B4" w:rsidRPr="00E72E07" w:rsidRDefault="00545F40" w:rsidP="00AA0167">
      <w:pPr>
        <w:pStyle w:val="SemEspaamento"/>
        <w:spacing w:line="360" w:lineRule="auto"/>
        <w:jc w:val="both"/>
        <w:rPr>
          <w:rFonts w:ascii="Times New Roman" w:hAnsi="Times New Roman"/>
        </w:rPr>
      </w:pPr>
      <w:r>
        <w:rPr>
          <w:rFonts w:ascii="Times New Roman" w:hAnsi="Times New Roman"/>
        </w:rPr>
        <w:t>2</w:t>
      </w:r>
      <w:r w:rsidR="00AD20CB">
        <w:rPr>
          <w:rFonts w:ascii="Times New Roman" w:hAnsi="Times New Roman"/>
        </w:rPr>
        <w:t>8</w:t>
      </w:r>
      <w:r w:rsidR="00C15D14">
        <w:rPr>
          <w:rFonts w:ascii="Times New Roman" w:hAnsi="Times New Roman"/>
        </w:rPr>
        <w:t xml:space="preserve"> -</w:t>
      </w:r>
      <w:r w:rsidR="00D623B4" w:rsidRPr="00E72E07">
        <w:rPr>
          <w:rFonts w:ascii="Times New Roman" w:hAnsi="Times New Roman"/>
        </w:rPr>
        <w:t xml:space="preserve"> C</w:t>
      </w:r>
      <w:r w:rsidR="00AA0167">
        <w:rPr>
          <w:rFonts w:ascii="Times New Roman" w:hAnsi="Times New Roman"/>
        </w:rPr>
        <w:t>ruz</w:t>
      </w:r>
      <w:r w:rsidR="00D623B4" w:rsidRPr="00E72E07">
        <w:rPr>
          <w:rFonts w:ascii="Times New Roman" w:hAnsi="Times New Roman"/>
        </w:rPr>
        <w:t xml:space="preserve"> KCT, D</w:t>
      </w:r>
      <w:r w:rsidR="00AA0167">
        <w:rPr>
          <w:rFonts w:ascii="Times New Roman" w:hAnsi="Times New Roman"/>
        </w:rPr>
        <w:t>iogo</w:t>
      </w:r>
      <w:r w:rsidR="00D623B4" w:rsidRPr="00E72E07">
        <w:rPr>
          <w:rFonts w:ascii="Times New Roman" w:hAnsi="Times New Roman"/>
        </w:rPr>
        <w:t xml:space="preserve"> MJD. Avaliação da capacidade funcional de idosos com acidente vascular encefálico. Ac</w:t>
      </w:r>
      <w:r w:rsidR="00AA0167">
        <w:rPr>
          <w:rFonts w:ascii="Times New Roman" w:hAnsi="Times New Roman"/>
        </w:rPr>
        <w:t>ta Paulista de Enfermagem. 2009;</w:t>
      </w:r>
      <w:r w:rsidR="00D623B4" w:rsidRPr="00E72E07">
        <w:rPr>
          <w:rFonts w:ascii="Times New Roman" w:hAnsi="Times New Roman"/>
        </w:rPr>
        <w:t xml:space="preserve"> </w:t>
      </w:r>
      <w:proofErr w:type="gramStart"/>
      <w:r w:rsidR="00D623B4" w:rsidRPr="00E72E07">
        <w:rPr>
          <w:rFonts w:ascii="Times New Roman" w:hAnsi="Times New Roman"/>
        </w:rPr>
        <w:t>22(5):</w:t>
      </w:r>
      <w:proofErr w:type="gramEnd"/>
      <w:r w:rsidR="00D623B4" w:rsidRPr="00E72E07">
        <w:rPr>
          <w:rFonts w:ascii="Times New Roman" w:hAnsi="Times New Roman"/>
        </w:rPr>
        <w:t>666-72.</w:t>
      </w:r>
    </w:p>
    <w:p w:rsidR="00D623B4" w:rsidRPr="00E72E07" w:rsidRDefault="00545F40" w:rsidP="00AA0167">
      <w:pPr>
        <w:pStyle w:val="SemEspaamento"/>
        <w:spacing w:line="360" w:lineRule="auto"/>
        <w:jc w:val="both"/>
        <w:rPr>
          <w:rFonts w:ascii="Times New Roman" w:hAnsi="Times New Roman"/>
        </w:rPr>
      </w:pPr>
      <w:r>
        <w:rPr>
          <w:rFonts w:ascii="Times New Roman" w:hAnsi="Times New Roman"/>
        </w:rPr>
        <w:t>2</w:t>
      </w:r>
      <w:r w:rsidR="00AD20CB">
        <w:rPr>
          <w:rFonts w:ascii="Times New Roman" w:hAnsi="Times New Roman"/>
        </w:rPr>
        <w:t>9</w:t>
      </w:r>
      <w:r w:rsidR="00C15D14">
        <w:rPr>
          <w:rFonts w:ascii="Times New Roman" w:hAnsi="Times New Roman"/>
        </w:rPr>
        <w:t xml:space="preserve"> -</w:t>
      </w:r>
      <w:r w:rsidR="00D623B4" w:rsidRPr="00E72E07">
        <w:rPr>
          <w:rFonts w:ascii="Times New Roman" w:hAnsi="Times New Roman"/>
        </w:rPr>
        <w:t xml:space="preserve"> </w:t>
      </w:r>
      <w:proofErr w:type="gramStart"/>
      <w:r w:rsidR="00D623B4" w:rsidRPr="00E72E07">
        <w:rPr>
          <w:rFonts w:ascii="Times New Roman" w:hAnsi="Times New Roman"/>
        </w:rPr>
        <w:t>C</w:t>
      </w:r>
      <w:r w:rsidR="00AA0167">
        <w:rPr>
          <w:rFonts w:ascii="Times New Roman" w:hAnsi="Times New Roman"/>
        </w:rPr>
        <w:t>acho</w:t>
      </w:r>
      <w:r w:rsidR="00D623B4" w:rsidRPr="00E72E07">
        <w:rPr>
          <w:rFonts w:ascii="Times New Roman" w:hAnsi="Times New Roman"/>
        </w:rPr>
        <w:t xml:space="preserve"> EWA, M</w:t>
      </w:r>
      <w:r w:rsidR="00AA0167">
        <w:rPr>
          <w:rFonts w:ascii="Times New Roman" w:hAnsi="Times New Roman"/>
        </w:rPr>
        <w:t>elo</w:t>
      </w:r>
      <w:proofErr w:type="gramEnd"/>
      <w:r w:rsidR="00D623B4" w:rsidRPr="00E72E07">
        <w:rPr>
          <w:rFonts w:ascii="Times New Roman" w:hAnsi="Times New Roman"/>
        </w:rPr>
        <w:t xml:space="preserve"> FRLV, O</w:t>
      </w:r>
      <w:r w:rsidR="00AA0167">
        <w:rPr>
          <w:rFonts w:ascii="Times New Roman" w:hAnsi="Times New Roman"/>
        </w:rPr>
        <w:t>liveira</w:t>
      </w:r>
      <w:r w:rsidR="00D623B4" w:rsidRPr="00E72E07">
        <w:rPr>
          <w:rFonts w:ascii="Times New Roman" w:hAnsi="Times New Roman"/>
        </w:rPr>
        <w:t xml:space="preserve"> R. Avaliação da recuperação motora de pacientes hemiplégicos através do protocolo de desempenho físico </w:t>
      </w:r>
      <w:proofErr w:type="spellStart"/>
      <w:r w:rsidR="00D623B4" w:rsidRPr="00E72E07">
        <w:rPr>
          <w:rFonts w:ascii="Times New Roman" w:hAnsi="Times New Roman"/>
        </w:rPr>
        <w:t>Fugl</w:t>
      </w:r>
      <w:proofErr w:type="spellEnd"/>
      <w:r w:rsidR="00D623B4" w:rsidRPr="00E72E07">
        <w:rPr>
          <w:rFonts w:ascii="Times New Roman" w:hAnsi="Times New Roman"/>
        </w:rPr>
        <w:t>-Mey</w:t>
      </w:r>
      <w:r w:rsidR="00AA0167">
        <w:rPr>
          <w:rFonts w:ascii="Times New Roman" w:hAnsi="Times New Roman"/>
        </w:rPr>
        <w:t>er. Revista Neurociências. 2004;</w:t>
      </w:r>
      <w:r w:rsidR="00D623B4" w:rsidRPr="00E72E07">
        <w:rPr>
          <w:rFonts w:ascii="Times New Roman" w:hAnsi="Times New Roman"/>
        </w:rPr>
        <w:t xml:space="preserve"> </w:t>
      </w:r>
      <w:proofErr w:type="gramStart"/>
      <w:r w:rsidR="00D623B4" w:rsidRPr="00E72E07">
        <w:rPr>
          <w:rFonts w:ascii="Times New Roman" w:hAnsi="Times New Roman"/>
        </w:rPr>
        <w:t>12(2):</w:t>
      </w:r>
      <w:proofErr w:type="gramEnd"/>
      <w:r w:rsidR="00D623B4" w:rsidRPr="00E72E07">
        <w:rPr>
          <w:rFonts w:ascii="Times New Roman" w:hAnsi="Times New Roman"/>
        </w:rPr>
        <w:t>94-102.</w:t>
      </w:r>
    </w:p>
    <w:p w:rsidR="00D623B4" w:rsidRPr="00E72E07" w:rsidRDefault="00AD20CB" w:rsidP="00AA0167">
      <w:pPr>
        <w:spacing w:after="0" w:line="360" w:lineRule="auto"/>
        <w:jc w:val="both"/>
        <w:rPr>
          <w:rFonts w:ascii="Times New Roman" w:hAnsi="Times New Roman"/>
        </w:rPr>
      </w:pPr>
      <w:r>
        <w:rPr>
          <w:rFonts w:ascii="Times New Roman" w:hAnsi="Times New Roman"/>
        </w:rPr>
        <w:t>30</w:t>
      </w:r>
      <w:r w:rsidR="00545F40">
        <w:rPr>
          <w:rFonts w:ascii="Times New Roman" w:hAnsi="Times New Roman"/>
        </w:rPr>
        <w:t xml:space="preserve"> </w:t>
      </w:r>
      <w:r w:rsidR="00C15D14">
        <w:rPr>
          <w:rFonts w:ascii="Times New Roman" w:hAnsi="Times New Roman"/>
        </w:rPr>
        <w:t>-</w:t>
      </w:r>
      <w:r w:rsidR="00D623B4" w:rsidRPr="00E72E07">
        <w:rPr>
          <w:rFonts w:ascii="Times New Roman" w:hAnsi="Times New Roman"/>
        </w:rPr>
        <w:t xml:space="preserve"> B</w:t>
      </w:r>
      <w:r w:rsidR="00AA0167">
        <w:rPr>
          <w:rFonts w:ascii="Times New Roman" w:hAnsi="Times New Roman"/>
        </w:rPr>
        <w:t>orges</w:t>
      </w:r>
      <w:r w:rsidR="00D623B4" w:rsidRPr="00E72E07">
        <w:rPr>
          <w:rFonts w:ascii="Times New Roman" w:hAnsi="Times New Roman"/>
        </w:rPr>
        <w:t xml:space="preserve"> OS, M</w:t>
      </w:r>
      <w:r w:rsidR="00AA0167">
        <w:rPr>
          <w:rFonts w:ascii="Times New Roman" w:hAnsi="Times New Roman"/>
        </w:rPr>
        <w:t>arinho Filho</w:t>
      </w:r>
      <w:r w:rsidR="00D623B4" w:rsidRPr="00E72E07">
        <w:rPr>
          <w:rFonts w:ascii="Times New Roman" w:hAnsi="Times New Roman"/>
        </w:rPr>
        <w:t xml:space="preserve"> LEN, M</w:t>
      </w:r>
      <w:r w:rsidR="00AA0167">
        <w:rPr>
          <w:rFonts w:ascii="Times New Roman" w:hAnsi="Times New Roman"/>
        </w:rPr>
        <w:t>ascarenhas</w:t>
      </w:r>
      <w:r w:rsidR="00D623B4" w:rsidRPr="00E72E07">
        <w:rPr>
          <w:rFonts w:ascii="Times New Roman" w:hAnsi="Times New Roman"/>
        </w:rPr>
        <w:t xml:space="preserve"> CH. Correlação entre equilíbrio e ambiente domiciliar com risco de quedas em idosos com acidente vascular encefálico. Revista Brasileira de Geriatria e Gerontologia</w:t>
      </w:r>
      <w:r w:rsidR="00AA0167">
        <w:rPr>
          <w:rFonts w:ascii="Times New Roman" w:hAnsi="Times New Roman"/>
        </w:rPr>
        <w:t xml:space="preserve">. </w:t>
      </w:r>
      <w:proofErr w:type="gramStart"/>
      <w:r w:rsidR="00AA0167">
        <w:rPr>
          <w:rFonts w:ascii="Times New Roman" w:hAnsi="Times New Roman"/>
        </w:rPr>
        <w:t>2010;</w:t>
      </w:r>
      <w:proofErr w:type="gramEnd"/>
      <w:r w:rsidR="00D623B4" w:rsidRPr="00E72E07">
        <w:rPr>
          <w:rFonts w:ascii="Times New Roman" w:hAnsi="Times New Roman"/>
        </w:rPr>
        <w:t>13(1):41-50.</w:t>
      </w:r>
    </w:p>
    <w:p w:rsidR="00D623B4" w:rsidRPr="00E72E07" w:rsidRDefault="00AD20CB" w:rsidP="00AA0167">
      <w:pPr>
        <w:pStyle w:val="SemEspaamento"/>
        <w:spacing w:line="360" w:lineRule="auto"/>
        <w:jc w:val="both"/>
        <w:rPr>
          <w:rFonts w:ascii="Times New Roman" w:hAnsi="Times New Roman"/>
        </w:rPr>
      </w:pPr>
      <w:r>
        <w:rPr>
          <w:rFonts w:ascii="Times New Roman" w:hAnsi="Times New Roman"/>
        </w:rPr>
        <w:t>31</w:t>
      </w:r>
      <w:r w:rsidR="00C15D14">
        <w:rPr>
          <w:rFonts w:ascii="Times New Roman" w:hAnsi="Times New Roman"/>
        </w:rPr>
        <w:t xml:space="preserve"> -</w:t>
      </w:r>
      <w:r w:rsidR="00D623B4" w:rsidRPr="00E72E07">
        <w:rPr>
          <w:rFonts w:ascii="Times New Roman" w:hAnsi="Times New Roman"/>
        </w:rPr>
        <w:t xml:space="preserve"> </w:t>
      </w:r>
      <w:proofErr w:type="spellStart"/>
      <w:r w:rsidR="00D623B4" w:rsidRPr="00E72E07">
        <w:rPr>
          <w:rFonts w:ascii="Times New Roman" w:hAnsi="Times New Roman"/>
        </w:rPr>
        <w:t>G</w:t>
      </w:r>
      <w:r w:rsidR="00AA0167">
        <w:rPr>
          <w:rFonts w:ascii="Times New Roman" w:hAnsi="Times New Roman"/>
        </w:rPr>
        <w:t>iriko</w:t>
      </w:r>
      <w:proofErr w:type="spellEnd"/>
      <w:r w:rsidR="00D623B4" w:rsidRPr="00E72E07">
        <w:rPr>
          <w:rFonts w:ascii="Times New Roman" w:hAnsi="Times New Roman"/>
        </w:rPr>
        <w:t xml:space="preserve"> HC, A</w:t>
      </w:r>
      <w:r w:rsidR="00AA0167">
        <w:rPr>
          <w:rFonts w:ascii="Times New Roman" w:hAnsi="Times New Roman"/>
        </w:rPr>
        <w:t>zevedo</w:t>
      </w:r>
      <w:r w:rsidR="00D623B4" w:rsidRPr="00E72E07">
        <w:rPr>
          <w:rFonts w:ascii="Times New Roman" w:hAnsi="Times New Roman"/>
        </w:rPr>
        <w:t xml:space="preserve"> RAN, </w:t>
      </w:r>
      <w:proofErr w:type="spellStart"/>
      <w:r w:rsidR="00D623B4" w:rsidRPr="00E72E07">
        <w:rPr>
          <w:rFonts w:ascii="Times New Roman" w:hAnsi="Times New Roman"/>
        </w:rPr>
        <w:t>K</w:t>
      </w:r>
      <w:r w:rsidR="00AA0167">
        <w:rPr>
          <w:rFonts w:ascii="Times New Roman" w:hAnsi="Times New Roman"/>
        </w:rPr>
        <w:t>uriki</w:t>
      </w:r>
      <w:proofErr w:type="spellEnd"/>
      <w:r w:rsidR="00D623B4" w:rsidRPr="00E72E07">
        <w:rPr>
          <w:rFonts w:ascii="Times New Roman" w:hAnsi="Times New Roman"/>
        </w:rPr>
        <w:t xml:space="preserve"> HU, </w:t>
      </w:r>
      <w:proofErr w:type="spellStart"/>
      <w:proofErr w:type="gramStart"/>
      <w:r w:rsidR="00D623B4" w:rsidRPr="00E72E07">
        <w:rPr>
          <w:rFonts w:ascii="Times New Roman" w:hAnsi="Times New Roman"/>
        </w:rPr>
        <w:t>C</w:t>
      </w:r>
      <w:r w:rsidR="00AA0167">
        <w:rPr>
          <w:rFonts w:ascii="Times New Roman" w:hAnsi="Times New Roman"/>
        </w:rPr>
        <w:t>arvalho</w:t>
      </w:r>
      <w:r w:rsidR="00D623B4" w:rsidRPr="00E72E07">
        <w:rPr>
          <w:rFonts w:ascii="Times New Roman" w:hAnsi="Times New Roman"/>
        </w:rPr>
        <w:t>AC</w:t>
      </w:r>
      <w:proofErr w:type="spellEnd"/>
      <w:proofErr w:type="gramEnd"/>
      <w:r w:rsidR="00D623B4" w:rsidRPr="00E72E07">
        <w:rPr>
          <w:rFonts w:ascii="Times New Roman" w:hAnsi="Times New Roman"/>
        </w:rPr>
        <w:t xml:space="preserve">. Capacidade funcional de </w:t>
      </w:r>
      <w:proofErr w:type="spellStart"/>
      <w:r w:rsidR="00D623B4" w:rsidRPr="00E72E07">
        <w:rPr>
          <w:rFonts w:ascii="Times New Roman" w:hAnsi="Times New Roman"/>
        </w:rPr>
        <w:t>hemiparéticos</w:t>
      </w:r>
      <w:proofErr w:type="spellEnd"/>
      <w:r w:rsidR="00D623B4" w:rsidRPr="00E72E07">
        <w:rPr>
          <w:rFonts w:ascii="Times New Roman" w:hAnsi="Times New Roman"/>
        </w:rPr>
        <w:t xml:space="preserve"> crônicos submetidos a um programa de fisioterapia em grupo.</w:t>
      </w:r>
      <w:r w:rsidR="00AA0167">
        <w:rPr>
          <w:rFonts w:ascii="Times New Roman" w:hAnsi="Times New Roman"/>
        </w:rPr>
        <w:t xml:space="preserve"> Fisioterapia e Pesquisa. 2010; </w:t>
      </w:r>
      <w:proofErr w:type="gramStart"/>
      <w:r w:rsidR="00D623B4" w:rsidRPr="00E72E07">
        <w:rPr>
          <w:rFonts w:ascii="Times New Roman" w:hAnsi="Times New Roman"/>
        </w:rPr>
        <w:t>17(3):</w:t>
      </w:r>
      <w:proofErr w:type="gramEnd"/>
      <w:r w:rsidR="00D623B4" w:rsidRPr="00E72E07">
        <w:rPr>
          <w:rFonts w:ascii="Times New Roman" w:hAnsi="Times New Roman"/>
        </w:rPr>
        <w:t>214-19.</w:t>
      </w:r>
    </w:p>
    <w:p w:rsidR="00D623B4" w:rsidRPr="00E72E07" w:rsidRDefault="00AD20CB" w:rsidP="00D623B4">
      <w:pPr>
        <w:pStyle w:val="SemEspaamento"/>
        <w:spacing w:line="360" w:lineRule="auto"/>
        <w:rPr>
          <w:rFonts w:ascii="Times New Roman" w:hAnsi="Times New Roman"/>
        </w:rPr>
      </w:pPr>
      <w:r>
        <w:rPr>
          <w:rFonts w:ascii="Times New Roman" w:hAnsi="Times New Roman"/>
        </w:rPr>
        <w:lastRenderedPageBreak/>
        <w:t>32</w:t>
      </w:r>
      <w:r w:rsidR="00C15D14">
        <w:rPr>
          <w:rFonts w:ascii="Times New Roman" w:hAnsi="Times New Roman"/>
        </w:rPr>
        <w:t xml:space="preserve"> -</w:t>
      </w:r>
      <w:r w:rsidR="00D623B4" w:rsidRPr="00E72E07">
        <w:rPr>
          <w:rFonts w:ascii="Times New Roman" w:hAnsi="Times New Roman"/>
        </w:rPr>
        <w:t xml:space="preserve"> </w:t>
      </w:r>
      <w:proofErr w:type="spellStart"/>
      <w:r w:rsidR="00D623B4" w:rsidRPr="00E72E07">
        <w:rPr>
          <w:rFonts w:ascii="Times New Roman" w:hAnsi="Times New Roman"/>
        </w:rPr>
        <w:t>M</w:t>
      </w:r>
      <w:r w:rsidR="00AA0167">
        <w:rPr>
          <w:rFonts w:ascii="Times New Roman" w:hAnsi="Times New Roman"/>
        </w:rPr>
        <w:t>eneghetti</w:t>
      </w:r>
      <w:proofErr w:type="spellEnd"/>
      <w:r w:rsidR="00D623B4" w:rsidRPr="00E72E07">
        <w:rPr>
          <w:rFonts w:ascii="Times New Roman" w:hAnsi="Times New Roman"/>
        </w:rPr>
        <w:t xml:space="preserve"> CHZ, D</w:t>
      </w:r>
      <w:r w:rsidR="00AA0167">
        <w:rPr>
          <w:rFonts w:ascii="Times New Roman" w:hAnsi="Times New Roman"/>
        </w:rPr>
        <w:t>elgado</w:t>
      </w:r>
      <w:r w:rsidR="00D623B4" w:rsidRPr="00E72E07">
        <w:rPr>
          <w:rFonts w:ascii="Times New Roman" w:hAnsi="Times New Roman"/>
        </w:rPr>
        <w:t xml:space="preserve"> GM, P</w:t>
      </w:r>
      <w:r w:rsidR="00AA0167">
        <w:rPr>
          <w:rFonts w:ascii="Times New Roman" w:hAnsi="Times New Roman"/>
        </w:rPr>
        <w:t>into</w:t>
      </w:r>
      <w:r w:rsidR="00D623B4" w:rsidRPr="00E72E07">
        <w:rPr>
          <w:rFonts w:ascii="Times New Roman" w:hAnsi="Times New Roman"/>
        </w:rPr>
        <w:t xml:space="preserve"> FD, </w:t>
      </w:r>
      <w:proofErr w:type="spellStart"/>
      <w:r w:rsidR="00D623B4" w:rsidRPr="00E72E07">
        <w:rPr>
          <w:rFonts w:ascii="Times New Roman" w:hAnsi="Times New Roman"/>
        </w:rPr>
        <w:t>C</w:t>
      </w:r>
      <w:r w:rsidR="00AA0167">
        <w:rPr>
          <w:rFonts w:ascii="Times New Roman" w:hAnsi="Times New Roman"/>
        </w:rPr>
        <w:t>anonice</w:t>
      </w:r>
      <w:proofErr w:type="spellEnd"/>
      <w:r w:rsidR="00D623B4" w:rsidRPr="00E72E07">
        <w:rPr>
          <w:rFonts w:ascii="Times New Roman" w:hAnsi="Times New Roman"/>
        </w:rPr>
        <w:t xml:space="preserve"> AP, </w:t>
      </w:r>
      <w:proofErr w:type="spellStart"/>
      <w:r w:rsidR="00D623B4" w:rsidRPr="00E72E07">
        <w:rPr>
          <w:rFonts w:ascii="Times New Roman" w:hAnsi="Times New Roman"/>
        </w:rPr>
        <w:t>G</w:t>
      </w:r>
      <w:r w:rsidR="00AA0167">
        <w:rPr>
          <w:rFonts w:ascii="Times New Roman" w:hAnsi="Times New Roman"/>
        </w:rPr>
        <w:t>aino</w:t>
      </w:r>
      <w:proofErr w:type="spellEnd"/>
      <w:r w:rsidR="00D623B4" w:rsidRPr="00E72E07">
        <w:rPr>
          <w:rFonts w:ascii="Times New Roman" w:hAnsi="Times New Roman"/>
        </w:rPr>
        <w:t xml:space="preserve"> MRC. Equilíbrio em indivíduos com acidente vascular encefálico: clínica escola de fisioterapia da </w:t>
      </w:r>
      <w:proofErr w:type="spellStart"/>
      <w:r w:rsidR="00D623B4" w:rsidRPr="00E72E07">
        <w:rPr>
          <w:rFonts w:ascii="Times New Roman" w:hAnsi="Times New Roman"/>
        </w:rPr>
        <w:t>Uniarar</w:t>
      </w:r>
      <w:r w:rsidR="00AA0167">
        <w:rPr>
          <w:rFonts w:ascii="Times New Roman" w:hAnsi="Times New Roman"/>
        </w:rPr>
        <w:t>as</w:t>
      </w:r>
      <w:proofErr w:type="spellEnd"/>
      <w:r w:rsidR="00AA0167">
        <w:rPr>
          <w:rFonts w:ascii="Times New Roman" w:hAnsi="Times New Roman"/>
        </w:rPr>
        <w:t xml:space="preserve">. Revista </w:t>
      </w:r>
      <w:proofErr w:type="spellStart"/>
      <w:r w:rsidR="00AA0167">
        <w:rPr>
          <w:rFonts w:ascii="Times New Roman" w:hAnsi="Times New Roman"/>
        </w:rPr>
        <w:t>Neurociencias</w:t>
      </w:r>
      <w:proofErr w:type="spellEnd"/>
      <w:r w:rsidR="00AA0167">
        <w:rPr>
          <w:rFonts w:ascii="Times New Roman" w:hAnsi="Times New Roman"/>
        </w:rPr>
        <w:t>. 2009;</w:t>
      </w:r>
      <w:r w:rsidR="00D623B4" w:rsidRPr="00E72E07">
        <w:rPr>
          <w:rFonts w:ascii="Times New Roman" w:hAnsi="Times New Roman"/>
        </w:rPr>
        <w:t xml:space="preserve"> 17(1):14-18.</w:t>
      </w:r>
      <w:bookmarkStart w:id="0" w:name="_GoBack"/>
      <w:bookmarkEnd w:id="0"/>
    </w:p>
    <w:p w:rsidR="001063C9" w:rsidRDefault="001063C9"/>
    <w:sectPr w:rsidR="001063C9" w:rsidSect="00574F3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07"/>
    <w:rsid w:val="00002B6E"/>
    <w:rsid w:val="000033DF"/>
    <w:rsid w:val="000417DD"/>
    <w:rsid w:val="000E5BA4"/>
    <w:rsid w:val="001063C9"/>
    <w:rsid w:val="00121B5A"/>
    <w:rsid w:val="001260AE"/>
    <w:rsid w:val="001374DE"/>
    <w:rsid w:val="0015036D"/>
    <w:rsid w:val="001604D2"/>
    <w:rsid w:val="00183854"/>
    <w:rsid w:val="001E43A2"/>
    <w:rsid w:val="0028114D"/>
    <w:rsid w:val="0029006D"/>
    <w:rsid w:val="00303455"/>
    <w:rsid w:val="00394F64"/>
    <w:rsid w:val="003D2A74"/>
    <w:rsid w:val="00414E5E"/>
    <w:rsid w:val="00490D8C"/>
    <w:rsid w:val="004F3923"/>
    <w:rsid w:val="005324EC"/>
    <w:rsid w:val="00545F40"/>
    <w:rsid w:val="005465C3"/>
    <w:rsid w:val="00574F32"/>
    <w:rsid w:val="005810A2"/>
    <w:rsid w:val="005A1425"/>
    <w:rsid w:val="005A5DCA"/>
    <w:rsid w:val="005C478F"/>
    <w:rsid w:val="005E37FB"/>
    <w:rsid w:val="005F14FC"/>
    <w:rsid w:val="006006ED"/>
    <w:rsid w:val="00656CE9"/>
    <w:rsid w:val="00671790"/>
    <w:rsid w:val="00680D41"/>
    <w:rsid w:val="007132C3"/>
    <w:rsid w:val="00722FDF"/>
    <w:rsid w:val="008033D7"/>
    <w:rsid w:val="0081296B"/>
    <w:rsid w:val="00821817"/>
    <w:rsid w:val="00844DFC"/>
    <w:rsid w:val="00865D6B"/>
    <w:rsid w:val="008D4AC7"/>
    <w:rsid w:val="00905B5B"/>
    <w:rsid w:val="009D3640"/>
    <w:rsid w:val="009D5922"/>
    <w:rsid w:val="009F32CD"/>
    <w:rsid w:val="00A12A66"/>
    <w:rsid w:val="00A74074"/>
    <w:rsid w:val="00AA0167"/>
    <w:rsid w:val="00AA5956"/>
    <w:rsid w:val="00AD20CB"/>
    <w:rsid w:val="00B001A0"/>
    <w:rsid w:val="00B114CA"/>
    <w:rsid w:val="00B36316"/>
    <w:rsid w:val="00B7241E"/>
    <w:rsid w:val="00BB362E"/>
    <w:rsid w:val="00BF7739"/>
    <w:rsid w:val="00C02230"/>
    <w:rsid w:val="00C15D14"/>
    <w:rsid w:val="00C20B98"/>
    <w:rsid w:val="00C917F3"/>
    <w:rsid w:val="00CD4904"/>
    <w:rsid w:val="00CE65EA"/>
    <w:rsid w:val="00CF0B34"/>
    <w:rsid w:val="00D32174"/>
    <w:rsid w:val="00D54662"/>
    <w:rsid w:val="00D623B4"/>
    <w:rsid w:val="00DA778C"/>
    <w:rsid w:val="00E018F9"/>
    <w:rsid w:val="00E47A70"/>
    <w:rsid w:val="00E72E07"/>
    <w:rsid w:val="00EA5370"/>
    <w:rsid w:val="00EB1834"/>
    <w:rsid w:val="00F17123"/>
    <w:rsid w:val="00F61CB6"/>
    <w:rsid w:val="00FC7028"/>
    <w:rsid w:val="00FD16D7"/>
    <w:rsid w:val="00FF4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B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23B4"/>
  </w:style>
  <w:style w:type="character" w:customStyle="1" w:styleId="apple-style-span">
    <w:name w:val="apple-style-span"/>
    <w:basedOn w:val="Fontepargpadro"/>
    <w:rsid w:val="00D623B4"/>
  </w:style>
  <w:style w:type="paragraph" w:styleId="SemEspaamento">
    <w:name w:val="No Spacing"/>
    <w:uiPriority w:val="1"/>
    <w:qFormat/>
    <w:rsid w:val="00D623B4"/>
    <w:rPr>
      <w:sz w:val="22"/>
      <w:szCs w:val="22"/>
      <w:lang w:eastAsia="en-US"/>
    </w:rPr>
  </w:style>
  <w:style w:type="character" w:customStyle="1" w:styleId="A3">
    <w:name w:val="A3"/>
    <w:uiPriority w:val="99"/>
    <w:rsid w:val="00D623B4"/>
    <w:rPr>
      <w:rFonts w:cs="Adobe Garamond Pro"/>
      <w:color w:val="000000"/>
      <w:sz w:val="22"/>
      <w:szCs w:val="22"/>
    </w:rPr>
  </w:style>
  <w:style w:type="character" w:styleId="Hyperlink">
    <w:name w:val="Hyperlink"/>
    <w:uiPriority w:val="99"/>
    <w:semiHidden/>
    <w:unhideWhenUsed/>
    <w:rsid w:val="00D623B4"/>
    <w:rPr>
      <w:color w:val="0000FF"/>
      <w:u w:val="single"/>
    </w:rPr>
  </w:style>
  <w:style w:type="table" w:styleId="Tabelacomgrade">
    <w:name w:val="Table Grid"/>
    <w:basedOn w:val="Tabelanormal"/>
    <w:uiPriority w:val="59"/>
    <w:rsid w:val="00D6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B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23B4"/>
  </w:style>
  <w:style w:type="character" w:customStyle="1" w:styleId="apple-style-span">
    <w:name w:val="apple-style-span"/>
    <w:basedOn w:val="Fontepargpadro"/>
    <w:rsid w:val="00D623B4"/>
  </w:style>
  <w:style w:type="paragraph" w:styleId="SemEspaamento">
    <w:name w:val="No Spacing"/>
    <w:uiPriority w:val="1"/>
    <w:qFormat/>
    <w:rsid w:val="00D623B4"/>
    <w:rPr>
      <w:sz w:val="22"/>
      <w:szCs w:val="22"/>
      <w:lang w:eastAsia="en-US"/>
    </w:rPr>
  </w:style>
  <w:style w:type="character" w:customStyle="1" w:styleId="A3">
    <w:name w:val="A3"/>
    <w:uiPriority w:val="99"/>
    <w:rsid w:val="00D623B4"/>
    <w:rPr>
      <w:rFonts w:cs="Adobe Garamond Pro"/>
      <w:color w:val="000000"/>
      <w:sz w:val="22"/>
      <w:szCs w:val="22"/>
    </w:rPr>
  </w:style>
  <w:style w:type="character" w:styleId="Hyperlink">
    <w:name w:val="Hyperlink"/>
    <w:uiPriority w:val="99"/>
    <w:semiHidden/>
    <w:unhideWhenUsed/>
    <w:rsid w:val="00D623B4"/>
    <w:rPr>
      <w:color w:val="0000FF"/>
      <w:u w:val="single"/>
    </w:rPr>
  </w:style>
  <w:style w:type="table" w:styleId="Tabelacomgrade">
    <w:name w:val="Table Grid"/>
    <w:basedOn w:val="Tabelanormal"/>
    <w:uiPriority w:val="59"/>
    <w:rsid w:val="00D6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abnet.datasus.gov.br/tabdata/cadernos/rn.ht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0CANDICE%2010.04.15\Desktop\UFPB\roberta\_PERFIL%20SOCIAL%20E%20FUNCIONAL%20DOS%20USU&#193;RIOS%20DA%20ESTRAT&#201;GIA%20SA&#218;DE%20DA%20FAM&#205;LIA%20COM%20AVE_.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8266-53DE-40A1-B656-A2077652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_PERFIL SOCIAL E FUNCIONAL DOS USUÁRIOS DA ESTRATÉGIA SAÚDE DA FAMÍLIA COM AVE_</Template>
  <TotalTime>793</TotalTime>
  <Pages>14</Pages>
  <Words>5631</Words>
  <Characters>30411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35971</CharactersWithSpaces>
  <SharedDoc>false</SharedDoc>
  <HLinks>
    <vt:vector size="6" baseType="variant">
      <vt:variant>
        <vt:i4>5636177</vt:i4>
      </vt:variant>
      <vt:variant>
        <vt:i4>0</vt:i4>
      </vt:variant>
      <vt:variant>
        <vt:i4>0</vt:i4>
      </vt:variant>
      <vt:variant>
        <vt:i4>5</vt:i4>
      </vt:variant>
      <vt:variant>
        <vt:lpwstr>http://tabnet.datasus.gov.br/tabdata/cadernos/rn.htm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Office.E</dc:creator>
  <cp:lastModifiedBy>Cliente Office.E</cp:lastModifiedBy>
  <cp:revision>34</cp:revision>
  <dcterms:created xsi:type="dcterms:W3CDTF">2015-04-24T02:10:00Z</dcterms:created>
  <dcterms:modified xsi:type="dcterms:W3CDTF">2015-04-25T17:49:00Z</dcterms:modified>
</cp:coreProperties>
</file>