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01B" w:rsidRDefault="00BE501B" w:rsidP="00BE501B">
      <w:pPr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Legendas da</w:t>
      </w:r>
      <w:r w:rsidR="004323B9">
        <w:rPr>
          <w:b/>
          <w:color w:val="000000"/>
          <w:sz w:val="22"/>
          <w:szCs w:val="22"/>
        </w:rPr>
        <w:t>s</w:t>
      </w:r>
      <w:r>
        <w:rPr>
          <w:b/>
          <w:color w:val="000000"/>
          <w:sz w:val="22"/>
          <w:szCs w:val="22"/>
        </w:rPr>
        <w:t xml:space="preserve"> Figuras</w:t>
      </w:r>
    </w:p>
    <w:p w:rsidR="00BE501B" w:rsidRPr="00777F1F" w:rsidRDefault="00BE501B" w:rsidP="00BE501B">
      <w:pPr>
        <w:jc w:val="both"/>
        <w:rPr>
          <w:b/>
          <w:color w:val="000000"/>
          <w:sz w:val="22"/>
          <w:szCs w:val="22"/>
        </w:rPr>
      </w:pPr>
    </w:p>
    <w:p w:rsidR="00BE501B" w:rsidRPr="00777F1F" w:rsidRDefault="00BE501B" w:rsidP="00BE501B">
      <w:pPr>
        <w:jc w:val="both"/>
        <w:rPr>
          <w:color w:val="000000"/>
          <w:sz w:val="22"/>
          <w:szCs w:val="22"/>
        </w:rPr>
      </w:pPr>
      <w:r w:rsidRPr="00777F1F">
        <w:rPr>
          <w:color w:val="000000"/>
          <w:sz w:val="22"/>
          <w:szCs w:val="22"/>
        </w:rPr>
        <w:t>Figura 1. Precipitação total nas áreas estudadas durante o período de avaliação. A numeração indica o mês das leituras e acima a condição de alagamento dos ambientes. Sendo: Área I - Sossego, PB; Área II - Juazeirinho, PB; Área III - Gurinhém, PB.</w:t>
      </w:r>
    </w:p>
    <w:p w:rsidR="00BE501B" w:rsidRPr="00BE501B" w:rsidRDefault="00BE501B" w:rsidP="00BE501B">
      <w:pPr>
        <w:jc w:val="both"/>
        <w:rPr>
          <w:color w:val="000000"/>
          <w:sz w:val="22"/>
          <w:szCs w:val="22"/>
        </w:rPr>
      </w:pPr>
    </w:p>
    <w:p w:rsidR="00BE501B" w:rsidRPr="00777F1F" w:rsidRDefault="00BE501B" w:rsidP="00BE501B">
      <w:pPr>
        <w:jc w:val="both"/>
        <w:rPr>
          <w:color w:val="000000"/>
          <w:sz w:val="22"/>
          <w:szCs w:val="22"/>
        </w:rPr>
      </w:pPr>
      <w:r w:rsidRPr="00777F1F">
        <w:rPr>
          <w:color w:val="000000"/>
          <w:sz w:val="22"/>
          <w:szCs w:val="22"/>
        </w:rPr>
        <w:t xml:space="preserve">Figura 2. Média de indivíduos comparada pelo teste de </w:t>
      </w:r>
      <w:proofErr w:type="spellStart"/>
      <w:r w:rsidRPr="00777F1F">
        <w:rPr>
          <w:color w:val="000000"/>
          <w:sz w:val="22"/>
          <w:szCs w:val="22"/>
        </w:rPr>
        <w:t>Kruskal</w:t>
      </w:r>
      <w:proofErr w:type="spellEnd"/>
      <w:r w:rsidRPr="00777F1F">
        <w:rPr>
          <w:color w:val="000000"/>
          <w:sz w:val="22"/>
          <w:szCs w:val="22"/>
        </w:rPr>
        <w:t>-Wallis (H). Médias seguidas por letras iguais não diferem entre si (</w:t>
      </w:r>
      <w:r w:rsidRPr="00777F1F">
        <w:rPr>
          <w:i/>
          <w:color w:val="000000"/>
          <w:sz w:val="22"/>
          <w:szCs w:val="22"/>
        </w:rPr>
        <w:t>P</w:t>
      </w:r>
      <w:r w:rsidRPr="00777F1F">
        <w:rPr>
          <w:color w:val="000000"/>
          <w:sz w:val="22"/>
          <w:szCs w:val="22"/>
        </w:rPr>
        <w:t xml:space="preserve"> ≤ 0.05): letras minúsculas comparação </w:t>
      </w:r>
      <w:proofErr w:type="spellStart"/>
      <w:r w:rsidRPr="00777F1F">
        <w:rPr>
          <w:color w:val="000000"/>
          <w:sz w:val="22"/>
          <w:szCs w:val="22"/>
        </w:rPr>
        <w:t>intra-áreas</w:t>
      </w:r>
      <w:proofErr w:type="spellEnd"/>
      <w:r w:rsidRPr="00777F1F">
        <w:rPr>
          <w:color w:val="000000"/>
          <w:sz w:val="22"/>
          <w:szCs w:val="22"/>
        </w:rPr>
        <w:t xml:space="preserve">; letras maiúsculas comparação </w:t>
      </w:r>
      <w:proofErr w:type="spellStart"/>
      <w:proofErr w:type="gramStart"/>
      <w:r w:rsidRPr="00777F1F">
        <w:rPr>
          <w:color w:val="000000"/>
          <w:sz w:val="22"/>
          <w:szCs w:val="22"/>
        </w:rPr>
        <w:t>inter-áreas</w:t>
      </w:r>
      <w:proofErr w:type="spellEnd"/>
      <w:proofErr w:type="gramEnd"/>
      <w:r w:rsidRPr="00777F1F">
        <w:rPr>
          <w:color w:val="000000"/>
          <w:sz w:val="22"/>
          <w:szCs w:val="22"/>
        </w:rPr>
        <w:t>. Sendo: Área I - Sossego, PB; Área II - Juazeirinho, PB; Área III - Gurinhém, PB.</w:t>
      </w:r>
    </w:p>
    <w:p w:rsidR="00BE501B" w:rsidRPr="00BE501B" w:rsidRDefault="00BE501B" w:rsidP="00BE501B">
      <w:pPr>
        <w:jc w:val="both"/>
        <w:rPr>
          <w:color w:val="000000"/>
          <w:sz w:val="22"/>
          <w:szCs w:val="22"/>
        </w:rPr>
      </w:pPr>
    </w:p>
    <w:p w:rsidR="00BE501B" w:rsidRPr="00777F1F" w:rsidRDefault="00BE501B" w:rsidP="00BE501B">
      <w:pPr>
        <w:jc w:val="both"/>
        <w:rPr>
          <w:color w:val="000000"/>
          <w:sz w:val="22"/>
          <w:szCs w:val="22"/>
        </w:rPr>
      </w:pPr>
      <w:r w:rsidRPr="00BE501B">
        <w:rPr>
          <w:color w:val="000000"/>
          <w:sz w:val="22"/>
          <w:szCs w:val="22"/>
        </w:rPr>
        <w:t xml:space="preserve">Figura 3. Regressão do tempo de avaliação pela densidade de </w:t>
      </w:r>
      <w:proofErr w:type="spellStart"/>
      <w:r w:rsidRPr="00BE501B">
        <w:rPr>
          <w:i/>
          <w:color w:val="000000"/>
          <w:sz w:val="22"/>
          <w:szCs w:val="22"/>
        </w:rPr>
        <w:t>Parkinsonia</w:t>
      </w:r>
      <w:proofErr w:type="spellEnd"/>
      <w:r w:rsidRPr="00BE501B">
        <w:rPr>
          <w:i/>
          <w:color w:val="000000"/>
          <w:sz w:val="22"/>
          <w:szCs w:val="22"/>
        </w:rPr>
        <w:t xml:space="preserve"> </w:t>
      </w:r>
      <w:proofErr w:type="spellStart"/>
      <w:r w:rsidRPr="00BE501B">
        <w:rPr>
          <w:i/>
          <w:color w:val="000000"/>
          <w:sz w:val="22"/>
          <w:szCs w:val="22"/>
        </w:rPr>
        <w:t>aculeata</w:t>
      </w:r>
      <w:proofErr w:type="spellEnd"/>
      <w:r w:rsidRPr="00BE501B">
        <w:rPr>
          <w:i/>
          <w:color w:val="000000"/>
          <w:sz w:val="22"/>
          <w:szCs w:val="22"/>
        </w:rPr>
        <w:t xml:space="preserve"> </w:t>
      </w:r>
      <w:r w:rsidRPr="00BE501B">
        <w:rPr>
          <w:color w:val="000000"/>
          <w:sz w:val="22"/>
          <w:szCs w:val="22"/>
        </w:rPr>
        <w:t xml:space="preserve">L. Sendo: (a) – Área I, Sossego, PB; (b) – Área </w:t>
      </w:r>
      <w:r w:rsidRPr="00777F1F">
        <w:rPr>
          <w:color w:val="000000"/>
          <w:sz w:val="22"/>
          <w:szCs w:val="22"/>
        </w:rPr>
        <w:t>II, Juazeirinho, PB; (c) – Área III, Gurinhém, PB.</w:t>
      </w:r>
    </w:p>
    <w:p w:rsidR="00BE501B" w:rsidRPr="00777F1F" w:rsidRDefault="00BE501B" w:rsidP="00BE501B">
      <w:pPr>
        <w:jc w:val="both"/>
        <w:rPr>
          <w:color w:val="000000"/>
          <w:sz w:val="22"/>
          <w:szCs w:val="22"/>
        </w:rPr>
      </w:pPr>
      <w:bookmarkStart w:id="0" w:name="_GoBack"/>
      <w:bookmarkEnd w:id="0"/>
    </w:p>
    <w:p w:rsidR="00DC5651" w:rsidRDefault="004323B9"/>
    <w:sectPr w:rsidR="00DC56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01B"/>
    <w:rsid w:val="004269DF"/>
    <w:rsid w:val="004323B9"/>
    <w:rsid w:val="00BE501B"/>
    <w:rsid w:val="00F4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501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01B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501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01B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CRAD</dc:creator>
  <cp:lastModifiedBy>CRAD</cp:lastModifiedBy>
  <cp:revision>2</cp:revision>
  <dcterms:created xsi:type="dcterms:W3CDTF">2014-06-04T18:45:00Z</dcterms:created>
  <dcterms:modified xsi:type="dcterms:W3CDTF">2014-06-04T18:48:00Z</dcterms:modified>
</cp:coreProperties>
</file>