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7C" w:rsidRPr="001E3D7C" w:rsidRDefault="00D84B7C" w:rsidP="00D84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D7C">
        <w:rPr>
          <w:rFonts w:ascii="Times New Roman" w:hAnsi="Times New Roman" w:cs="Times New Roman"/>
        </w:rPr>
        <w:t>Fonte: Fotografias aéreas digitais fornecidas pelo Departamento de Infraestrutura de Transportes da Bahia (2010).</w:t>
      </w:r>
    </w:p>
    <w:p w:rsidR="00D84B7C" w:rsidRPr="001E3D7C" w:rsidRDefault="00D84B7C" w:rsidP="00D84B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4B7C" w:rsidRPr="001E3D7C" w:rsidRDefault="00D84B7C" w:rsidP="00D84B7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1E3D7C">
        <w:rPr>
          <w:rFonts w:ascii="Times New Roman" w:hAnsi="Times New Roman" w:cs="Times New Roman"/>
        </w:rPr>
        <w:t>Figura 2 – Distribuição espacial dos fragmentos de cobertura arbórea dominante e restinga arbórea por grau de vulnerabilidade ecológica relativa após a simulação da construção da Ferrovia de Integração Oeste Leste na área de estudo.</w:t>
      </w:r>
    </w:p>
    <w:p w:rsidR="00716931" w:rsidRPr="00EE78C0" w:rsidRDefault="00716931" w:rsidP="00716931">
      <w:pPr>
        <w:spacing w:line="240" w:lineRule="auto"/>
        <w:jc w:val="both"/>
        <w:rPr>
          <w:rFonts w:ascii="Times New Roman" w:hAnsi="Times New Roman" w:cs="Times New Roman"/>
        </w:rPr>
      </w:pPr>
    </w:p>
    <w:p w:rsidR="00AC69AF" w:rsidRDefault="00AC69AF" w:rsidP="00716931">
      <w:pPr>
        <w:jc w:val="center"/>
      </w:pPr>
      <w:bookmarkStart w:id="0" w:name="_GoBack"/>
      <w:bookmarkEnd w:id="0"/>
    </w:p>
    <w:sectPr w:rsidR="00AC69AF" w:rsidSect="0071693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31"/>
    <w:rsid w:val="00716931"/>
    <w:rsid w:val="00AC69AF"/>
    <w:rsid w:val="00D8182C"/>
    <w:rsid w:val="00D8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2016-11-29T19:17:00Z</dcterms:created>
  <dcterms:modified xsi:type="dcterms:W3CDTF">2016-11-29T19:17:00Z</dcterms:modified>
</cp:coreProperties>
</file>