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BF" w:rsidRPr="00E14307" w:rsidRDefault="00167FBF" w:rsidP="00167FBF">
      <w:pPr>
        <w:spacing w:before="240" w:line="240" w:lineRule="auto"/>
        <w:ind w:left="142" w:firstLine="0"/>
        <w:rPr>
          <w:sz w:val="22"/>
        </w:rPr>
      </w:pPr>
      <w:r w:rsidRPr="00E14307">
        <w:rPr>
          <w:sz w:val="22"/>
        </w:rPr>
        <w:t xml:space="preserve">Tabela 1: Resultado da área foliar, densidade estomática e da mensuração celular nas folhas de </w:t>
      </w:r>
      <w:r w:rsidRPr="00E14307">
        <w:rPr>
          <w:i/>
          <w:sz w:val="22"/>
        </w:rPr>
        <w:t>Clusia obdeltifolia</w:t>
      </w:r>
      <w:r w:rsidRPr="00E14307">
        <w:rPr>
          <w:sz w:val="22"/>
        </w:rPr>
        <w:t xml:space="preserve"> Bittrich nas Áreas </w:t>
      </w:r>
      <w:proofErr w:type="gramStart"/>
      <w:r w:rsidRPr="00E14307">
        <w:rPr>
          <w:sz w:val="22"/>
        </w:rPr>
        <w:t>1</w:t>
      </w:r>
      <w:proofErr w:type="gramEnd"/>
      <w:r w:rsidRPr="00E14307">
        <w:rPr>
          <w:sz w:val="22"/>
        </w:rPr>
        <w:t xml:space="preserve"> (menor altitude) e 2 (maior altitude), Morro do Pai Inácio, Palmeiras, BA. </w:t>
      </w:r>
    </w:p>
    <w:tbl>
      <w:tblPr>
        <w:tblpPr w:leftFromText="141" w:rightFromText="141" w:vertAnchor="text" w:horzAnchor="margin" w:tblpY="233"/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503"/>
        <w:gridCol w:w="2126"/>
        <w:gridCol w:w="2551"/>
      </w:tblGrid>
      <w:tr w:rsidR="00167FBF" w:rsidRPr="00E14307" w:rsidTr="00810215">
        <w:trPr>
          <w:trHeight w:val="692"/>
        </w:trPr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Parâmetros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 (980m)</w:t>
            </w: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M ± DP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 (1150m)</w:t>
            </w: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M ± DP</w:t>
            </w:r>
          </w:p>
        </w:tc>
      </w:tr>
      <w:tr w:rsidR="00167FBF" w:rsidRPr="00E14307" w:rsidTr="00810215">
        <w:trPr>
          <w:trHeight w:val="391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Área Foliar (cm²)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62,31 ± 22,80*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33,21 ± 10,15*</w:t>
            </w:r>
          </w:p>
        </w:tc>
      </w:tr>
      <w:tr w:rsidR="00167FBF" w:rsidRPr="00E14307" w:rsidTr="00810215">
        <w:trPr>
          <w:trHeight w:val="391"/>
        </w:trPr>
        <w:tc>
          <w:tcPr>
            <w:tcW w:w="4503" w:type="dxa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Densidade estomática (mm²)</w:t>
            </w:r>
          </w:p>
        </w:tc>
        <w:tc>
          <w:tcPr>
            <w:tcW w:w="2126" w:type="dxa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149,0 ± 28,85</w:t>
            </w:r>
            <w:r w:rsidRPr="00E14307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177,9 ± 35,16</w:t>
            </w:r>
            <w:r w:rsidRPr="00E14307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167FBF" w:rsidRPr="00E14307" w:rsidTr="00810215">
        <w:trPr>
          <w:trHeight w:val="391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Índice estomático (%)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3,1 ± 0,85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3,4 ± 0,81</w:t>
            </w:r>
          </w:p>
        </w:tc>
      </w:tr>
      <w:tr w:rsidR="00167FBF" w:rsidRPr="00E14307" w:rsidTr="00810215">
        <w:trPr>
          <w:trHeight w:val="456"/>
        </w:trPr>
        <w:tc>
          <w:tcPr>
            <w:tcW w:w="4503" w:type="dxa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        Altura da célula epidérmica adaxial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0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22,6 ± 7.96</w:t>
            </w:r>
          </w:p>
        </w:tc>
        <w:tc>
          <w:tcPr>
            <w:tcW w:w="2551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26,1 ± 9,53</w:t>
            </w:r>
          </w:p>
        </w:tc>
      </w:tr>
      <w:tr w:rsidR="00167FBF" w:rsidRPr="00E14307" w:rsidTr="00810215">
        <w:trPr>
          <w:trHeight w:val="393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Largura da célula epidérmica adaxial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0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15,6 ± 8,26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17,9 ± 12,20</w:t>
            </w:r>
          </w:p>
        </w:tc>
      </w:tr>
      <w:tr w:rsidR="00167FBF" w:rsidRPr="00E14307" w:rsidTr="00810215">
        <w:trPr>
          <w:trHeight w:val="487"/>
        </w:trPr>
        <w:tc>
          <w:tcPr>
            <w:tcW w:w="4503" w:type="dxa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 xml:space="preserve">   Altura da célula epidérmica abaxial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0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11,9 ± 2,81</w:t>
            </w:r>
          </w:p>
        </w:tc>
        <w:tc>
          <w:tcPr>
            <w:tcW w:w="2551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12,7 ± 4,12</w:t>
            </w:r>
          </w:p>
        </w:tc>
      </w:tr>
      <w:tr w:rsidR="00167FBF" w:rsidRPr="00E14307" w:rsidTr="00810215">
        <w:trPr>
          <w:trHeight w:val="378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4307">
              <w:rPr>
                <w:b/>
                <w:bCs/>
                <w:color w:val="000000"/>
                <w:sz w:val="20"/>
                <w:szCs w:val="20"/>
              </w:rPr>
              <w:t>Largura da célula epidérmica abaxial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0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10,2 ± 3,77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  <w:szCs w:val="20"/>
              </w:rPr>
            </w:pPr>
            <w:r w:rsidRPr="00E14307">
              <w:rPr>
                <w:color w:val="000000"/>
                <w:sz w:val="20"/>
                <w:szCs w:val="20"/>
              </w:rPr>
              <w:t>10,8 ±3,45</w:t>
            </w:r>
          </w:p>
        </w:tc>
      </w:tr>
    </w:tbl>
    <w:p w:rsidR="00167FBF" w:rsidRPr="00E14307" w:rsidRDefault="00167FBF" w:rsidP="00167FBF">
      <w:pPr>
        <w:ind w:firstLine="0"/>
        <w:rPr>
          <w:sz w:val="14"/>
        </w:rPr>
      </w:pPr>
    </w:p>
    <w:p w:rsidR="00167FBF" w:rsidRPr="00E14307" w:rsidRDefault="00167FBF" w:rsidP="00167FBF">
      <w:pPr>
        <w:ind w:firstLine="0"/>
        <w:rPr>
          <w:sz w:val="18"/>
        </w:rPr>
      </w:pPr>
      <w:r w:rsidRPr="00E14307">
        <w:rPr>
          <w:sz w:val="20"/>
        </w:rPr>
        <w:t xml:space="preserve">Legenda: M = Média, DP = Desvio Padrão, </w:t>
      </w:r>
      <w:r w:rsidRPr="00E14307">
        <w:rPr>
          <w:b/>
          <w:sz w:val="20"/>
        </w:rPr>
        <w:t>*</w:t>
      </w:r>
      <w:r w:rsidRPr="00E14307">
        <w:rPr>
          <w:sz w:val="20"/>
        </w:rPr>
        <w:t xml:space="preserve"> p&lt;0,05.</w:t>
      </w: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rPr>
          <w:sz w:val="22"/>
        </w:rPr>
      </w:pPr>
      <w:r w:rsidRPr="00E14307">
        <w:rPr>
          <w:sz w:val="22"/>
        </w:rPr>
        <w:t xml:space="preserve">Tabela 2: Medidas das folhas de </w:t>
      </w:r>
      <w:r w:rsidRPr="00E14307">
        <w:rPr>
          <w:i/>
          <w:sz w:val="22"/>
        </w:rPr>
        <w:t>Clusia obdeltifolia</w:t>
      </w:r>
      <w:r w:rsidRPr="00E14307">
        <w:rPr>
          <w:sz w:val="22"/>
        </w:rPr>
        <w:t xml:space="preserve"> Bittrich nas Áreas </w:t>
      </w:r>
      <w:proofErr w:type="gramStart"/>
      <w:r w:rsidRPr="00E14307">
        <w:rPr>
          <w:sz w:val="22"/>
        </w:rPr>
        <w:t>1</w:t>
      </w:r>
      <w:proofErr w:type="gramEnd"/>
      <w:r w:rsidRPr="00E14307">
        <w:rPr>
          <w:sz w:val="22"/>
        </w:rPr>
        <w:t xml:space="preserve"> (menor altitude) e 2 (maior altitude), Morro do Pai Inácio, Palmeiras, BA. </w:t>
      </w: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tbl>
      <w:tblPr>
        <w:tblpPr w:leftFromText="141" w:rightFromText="141" w:vertAnchor="text" w:horzAnchor="margin" w:tblpXSpec="center" w:tblpY="123"/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61"/>
        <w:gridCol w:w="283"/>
        <w:gridCol w:w="2518"/>
        <w:gridCol w:w="2550"/>
      </w:tblGrid>
      <w:tr w:rsidR="00167FBF" w:rsidRPr="00E14307" w:rsidTr="00810215">
        <w:trPr>
          <w:trHeight w:val="542"/>
        </w:trPr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Parâmetros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2"/>
              </w:rPr>
              <w:t>1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(980m)</w:t>
            </w:r>
          </w:p>
          <w:p w:rsidR="00167FBF" w:rsidRPr="00E14307" w:rsidRDefault="00167FBF" w:rsidP="00810215">
            <w:pPr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           M ± DP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2"/>
              </w:rPr>
              <w:t>2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(1150m)</w:t>
            </w:r>
          </w:p>
          <w:p w:rsidR="00167FBF" w:rsidRPr="00E14307" w:rsidRDefault="00167FBF" w:rsidP="00810215">
            <w:pPr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              M ± DP</w:t>
            </w:r>
          </w:p>
        </w:tc>
      </w:tr>
      <w:tr w:rsidR="00167FBF" w:rsidRPr="00E14307" w:rsidTr="00810215">
        <w:trPr>
          <w:trHeight w:val="391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Cutícula adaxial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16,60 ± 3,52*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21,0 ± 3,75*</w:t>
            </w:r>
          </w:p>
        </w:tc>
      </w:tr>
      <w:tr w:rsidR="00167FBF" w:rsidRPr="00E14307" w:rsidTr="00810215">
        <w:trPr>
          <w:trHeight w:val="391"/>
        </w:trPr>
        <w:tc>
          <w:tcPr>
            <w:tcW w:w="3261" w:type="dxa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Cutícula abaxial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12,30 ± 1,60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  <w:tc>
          <w:tcPr>
            <w:tcW w:w="2550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13,30 ± 1,56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</w:tr>
      <w:tr w:rsidR="00167FBF" w:rsidRPr="00E14307" w:rsidTr="00810215">
        <w:trPr>
          <w:trHeight w:val="391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Epiderme adaxial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13,22 ± 2,42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14,90 ± 2,33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</w:tr>
      <w:tr w:rsidR="00167FBF" w:rsidRPr="00E14307" w:rsidTr="00810215">
        <w:trPr>
          <w:trHeight w:val="342"/>
        </w:trPr>
        <w:tc>
          <w:tcPr>
            <w:tcW w:w="3261" w:type="dxa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Epiderme abaxial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vAlign w:val="center"/>
          </w:tcPr>
          <w:p w:rsidR="00167FBF" w:rsidRPr="00E14307" w:rsidRDefault="00167FBF" w:rsidP="00810215">
            <w:pPr>
              <w:jc w:val="center"/>
              <w:rPr>
                <w:b/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27,40 ± 5,97</w:t>
            </w:r>
            <w:r w:rsidRPr="00E14307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550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32,20 ± 5,31</w:t>
            </w:r>
            <w:r w:rsidRPr="00E14307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167FBF" w:rsidRPr="00E14307" w:rsidTr="00810215">
        <w:trPr>
          <w:trHeight w:val="393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Hipoderme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</w:rPr>
            </w:pPr>
            <w:r w:rsidRPr="00E1430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      732,4 ± 92,34*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autoSpaceDE/>
              <w:autoSpaceDN/>
              <w:adjustRightInd/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</w:rPr>
            </w:pPr>
            <w:r w:rsidRPr="00E1430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         610 ± 84,21*</w:t>
            </w:r>
          </w:p>
        </w:tc>
      </w:tr>
      <w:tr w:rsidR="00167FBF" w:rsidRPr="00E14307" w:rsidTr="00810215">
        <w:trPr>
          <w:trHeight w:val="444"/>
        </w:trPr>
        <w:tc>
          <w:tcPr>
            <w:tcW w:w="3261" w:type="dxa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Parênquima paliçádico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235,46 ± 33,57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  <w:tc>
          <w:tcPr>
            <w:tcW w:w="2550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 xml:space="preserve"> 261,02 ± 19,90</w:t>
            </w:r>
            <w:r w:rsidRPr="00E14307">
              <w:rPr>
                <w:b/>
                <w:color w:val="000000"/>
                <w:sz w:val="20"/>
                <w:szCs w:val="22"/>
              </w:rPr>
              <w:t>*</w:t>
            </w:r>
          </w:p>
        </w:tc>
      </w:tr>
      <w:tr w:rsidR="00167FBF" w:rsidRPr="00E14307" w:rsidTr="00810215">
        <w:trPr>
          <w:trHeight w:val="40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Parênquima lacunoso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494,40 ± 56,57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509,20 ± 61,63</w:t>
            </w:r>
          </w:p>
        </w:tc>
      </w:tr>
      <w:tr w:rsidR="00167FBF" w:rsidRPr="00E14307" w:rsidTr="00810215">
        <w:trPr>
          <w:trHeight w:val="378"/>
        </w:trPr>
        <w:tc>
          <w:tcPr>
            <w:tcW w:w="3261" w:type="dxa"/>
            <w:vAlign w:val="center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Espessura total do limbo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µm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01" w:type="dxa"/>
            <w:gridSpan w:val="2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1449,44 ± 100,11</w:t>
            </w:r>
          </w:p>
        </w:tc>
        <w:tc>
          <w:tcPr>
            <w:tcW w:w="2550" w:type="dxa"/>
            <w:vAlign w:val="center"/>
          </w:tcPr>
          <w:p w:rsidR="00167FBF" w:rsidRPr="00E14307" w:rsidRDefault="00167FBF" w:rsidP="00810215">
            <w:pPr>
              <w:jc w:val="center"/>
              <w:rPr>
                <w:color w:val="000000"/>
                <w:sz w:val="20"/>
              </w:rPr>
            </w:pPr>
            <w:r w:rsidRPr="00E14307">
              <w:rPr>
                <w:color w:val="000000"/>
                <w:sz w:val="20"/>
                <w:szCs w:val="22"/>
              </w:rPr>
              <w:t>1511,84 ± 141,79</w:t>
            </w:r>
          </w:p>
        </w:tc>
      </w:tr>
    </w:tbl>
    <w:p w:rsidR="00167FBF" w:rsidRPr="00E14307" w:rsidRDefault="00167FBF" w:rsidP="00167FBF">
      <w:pPr>
        <w:spacing w:line="240" w:lineRule="auto"/>
        <w:ind w:firstLine="0"/>
        <w:contextualSpacing w:val="0"/>
        <w:jc w:val="left"/>
        <w:rPr>
          <w:sz w:val="20"/>
        </w:rPr>
      </w:pPr>
      <w:r w:rsidRPr="00E14307">
        <w:rPr>
          <w:sz w:val="20"/>
        </w:rPr>
        <w:t xml:space="preserve">      </w:t>
      </w: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  <w:r w:rsidRPr="00E14307">
        <w:rPr>
          <w:sz w:val="20"/>
        </w:rPr>
        <w:t xml:space="preserve">Legenda: M = Média, DP = Desvio Padrão, </w:t>
      </w:r>
      <w:r w:rsidRPr="00E14307">
        <w:rPr>
          <w:b/>
          <w:sz w:val="20"/>
        </w:rPr>
        <w:t>*</w:t>
      </w:r>
      <w:r w:rsidRPr="00E14307">
        <w:rPr>
          <w:sz w:val="20"/>
        </w:rPr>
        <w:t xml:space="preserve"> p&lt;</w:t>
      </w:r>
      <w:proofErr w:type="gramStart"/>
      <w:r w:rsidRPr="00E14307">
        <w:rPr>
          <w:sz w:val="20"/>
        </w:rPr>
        <w:t>0,05</w:t>
      </w:r>
      <w:proofErr w:type="gramEnd"/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p w:rsidR="00167FBF" w:rsidRPr="00E14307" w:rsidRDefault="00167FBF" w:rsidP="00167FBF">
      <w:pPr>
        <w:spacing w:before="240" w:line="240" w:lineRule="auto"/>
        <w:ind w:firstLine="0"/>
        <w:rPr>
          <w:sz w:val="22"/>
        </w:rPr>
      </w:pPr>
      <w:r w:rsidRPr="00E14307">
        <w:rPr>
          <w:sz w:val="22"/>
        </w:rPr>
        <w:lastRenderedPageBreak/>
        <w:t xml:space="preserve">Tabela 3: Testes histoquímicos em </w:t>
      </w:r>
      <w:r w:rsidRPr="00E14307">
        <w:rPr>
          <w:i/>
          <w:sz w:val="22"/>
        </w:rPr>
        <w:t>Clusia obdeltifolia</w:t>
      </w:r>
      <w:r w:rsidRPr="00E14307">
        <w:rPr>
          <w:sz w:val="22"/>
        </w:rPr>
        <w:t xml:space="preserve"> Bittrich, indivíduos das Áreas </w:t>
      </w:r>
      <w:proofErr w:type="gramStart"/>
      <w:r w:rsidRPr="00E14307">
        <w:rPr>
          <w:sz w:val="22"/>
        </w:rPr>
        <w:t>1</w:t>
      </w:r>
      <w:proofErr w:type="gramEnd"/>
      <w:r w:rsidRPr="00E14307">
        <w:rPr>
          <w:sz w:val="22"/>
        </w:rPr>
        <w:t xml:space="preserve"> (menor altitude)  e 2  (maior altitude), Morro do Pai Inácio, Palmeiras, BA. </w:t>
      </w:r>
    </w:p>
    <w:p w:rsidR="00167FBF" w:rsidRPr="00E14307" w:rsidRDefault="00167FBF" w:rsidP="00167FBF">
      <w:pPr>
        <w:spacing w:line="240" w:lineRule="auto"/>
        <w:ind w:firstLine="0"/>
        <w:contextualSpacing w:val="0"/>
        <w:jc w:val="left"/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2881"/>
        <w:gridCol w:w="2882"/>
      </w:tblGrid>
      <w:tr w:rsidR="00167FBF" w:rsidRPr="00E14307" w:rsidTr="00810215">
        <w:trPr>
          <w:trHeight w:val="556"/>
        </w:trPr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Testes Histoquímicos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2"/>
              </w:rPr>
              <w:t>1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(980m)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Área </w:t>
            </w:r>
            <w:proofErr w:type="gramStart"/>
            <w:r w:rsidRPr="00E14307">
              <w:rPr>
                <w:b/>
                <w:bCs/>
                <w:color w:val="000000"/>
                <w:sz w:val="20"/>
                <w:szCs w:val="22"/>
              </w:rPr>
              <w:t>2</w:t>
            </w:r>
            <w:proofErr w:type="gramEnd"/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(1150m)</w:t>
            </w:r>
          </w:p>
        </w:tc>
      </w:tr>
      <w:tr w:rsidR="00167FBF" w:rsidRPr="00E14307" w:rsidTr="00810215">
        <w:trPr>
          <w:trHeight w:val="477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Compostos lipídicos</w:t>
            </w: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(Sudam III)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</w:tr>
      <w:tr w:rsidR="00167FBF" w:rsidRPr="00E14307" w:rsidTr="00810215">
        <w:tc>
          <w:tcPr>
            <w:tcW w:w="3227" w:type="dxa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Lignina</w:t>
            </w:r>
          </w:p>
          <w:p w:rsidR="00167FBF" w:rsidRPr="00E14307" w:rsidRDefault="00167FBF" w:rsidP="0081021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Floroglucinol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em meio ácido)</w:t>
            </w:r>
          </w:p>
        </w:tc>
        <w:tc>
          <w:tcPr>
            <w:tcW w:w="2881" w:type="dxa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882" w:type="dxa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</w:tr>
      <w:tr w:rsidR="00167FBF" w:rsidRPr="00E14307" w:rsidTr="00810215">
        <w:trPr>
          <w:trHeight w:val="371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Amido</w:t>
            </w: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 xml:space="preserve"> (</w:t>
            </w:r>
            <w:proofErr w:type="spellStart"/>
            <w:r w:rsidRPr="00E14307">
              <w:rPr>
                <w:b/>
                <w:bCs/>
                <w:color w:val="000000"/>
                <w:sz w:val="20"/>
                <w:szCs w:val="22"/>
              </w:rPr>
              <w:t>Lugol</w:t>
            </w:r>
            <w:proofErr w:type="spellEnd"/>
            <w:r w:rsidRPr="00E14307"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  <w:tc>
          <w:tcPr>
            <w:tcW w:w="2882" w:type="dxa"/>
            <w:tcBorders>
              <w:left w:val="nil"/>
              <w:right w:val="nil"/>
            </w:tcBorders>
            <w:shd w:val="clear" w:color="auto" w:fill="FFFFFF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+</w:t>
            </w:r>
          </w:p>
        </w:tc>
      </w:tr>
      <w:tr w:rsidR="00167FBF" w:rsidRPr="00E14307" w:rsidTr="00810215">
        <w:trPr>
          <w:trHeight w:val="661"/>
        </w:trPr>
        <w:tc>
          <w:tcPr>
            <w:tcW w:w="3227" w:type="dxa"/>
          </w:tcPr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Compostos Fenólicos</w:t>
            </w:r>
          </w:p>
          <w:p w:rsidR="00167FBF" w:rsidRPr="00E14307" w:rsidRDefault="00167FBF" w:rsidP="0081021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4307">
              <w:rPr>
                <w:b/>
                <w:bCs/>
                <w:color w:val="000000"/>
                <w:sz w:val="20"/>
                <w:szCs w:val="22"/>
              </w:rPr>
              <w:t>(Cloreto Férrico)</w:t>
            </w:r>
          </w:p>
        </w:tc>
        <w:tc>
          <w:tcPr>
            <w:tcW w:w="2881" w:type="dxa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2" w:type="dxa"/>
          </w:tcPr>
          <w:p w:rsidR="00167FBF" w:rsidRPr="00E14307" w:rsidRDefault="00167FBF" w:rsidP="00810215">
            <w:pPr>
              <w:ind w:firstLine="0"/>
              <w:jc w:val="center"/>
              <w:rPr>
                <w:b/>
                <w:color w:val="000000"/>
              </w:rPr>
            </w:pPr>
            <w:r w:rsidRPr="00E1430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817696" w:rsidRPr="00E14307" w:rsidRDefault="00817696"/>
    <w:p w:rsidR="00C016FC" w:rsidRPr="00E14307" w:rsidRDefault="00C016FC"/>
    <w:p w:rsidR="00C016FC" w:rsidRPr="00E14307" w:rsidRDefault="00C016FC" w:rsidP="00C016FC">
      <w:pPr>
        <w:spacing w:line="240" w:lineRule="auto"/>
        <w:ind w:firstLine="0"/>
        <w:contextualSpacing w:val="0"/>
        <w:jc w:val="left"/>
        <w:rPr>
          <w:lang w:val="en-US"/>
        </w:rPr>
      </w:pPr>
    </w:p>
    <w:p w:rsidR="00C016FC" w:rsidRPr="00E14307" w:rsidRDefault="00C016FC" w:rsidP="00C016FC">
      <w:pPr>
        <w:spacing w:before="240" w:line="240" w:lineRule="auto"/>
        <w:ind w:firstLine="0"/>
      </w:pPr>
    </w:p>
    <w:p w:rsidR="00C016FC" w:rsidRDefault="00C016FC" w:rsidP="00C016FC">
      <w:pPr>
        <w:spacing w:line="240" w:lineRule="auto"/>
        <w:ind w:firstLine="0"/>
        <w:rPr>
          <w:color w:val="000000"/>
        </w:rPr>
      </w:pPr>
      <w:r w:rsidRPr="00E14307">
        <w:rPr>
          <w:b/>
        </w:rPr>
        <w:t>Figura 1.</w:t>
      </w:r>
      <w:r w:rsidRPr="00E14307">
        <w:t xml:space="preserve"> </w:t>
      </w:r>
      <w:r w:rsidRPr="00E14307">
        <w:rPr>
          <w:color w:val="000000"/>
        </w:rPr>
        <w:t xml:space="preserve">Seções paradérmicas da folha de </w:t>
      </w:r>
      <w:r w:rsidRPr="00E14307">
        <w:rPr>
          <w:i/>
          <w:color w:val="000000"/>
        </w:rPr>
        <w:t>Clusia obdeltifolia</w:t>
      </w:r>
      <w:r w:rsidRPr="00E14307">
        <w:rPr>
          <w:color w:val="000000"/>
        </w:rPr>
        <w:t xml:space="preserve"> Bittrich, Morro do Pai Inácio, Palmeiras, Bahia.  </w:t>
      </w:r>
      <w:proofErr w:type="gramStart"/>
      <w:r w:rsidRPr="00E14307">
        <w:rPr>
          <w:color w:val="000000"/>
        </w:rPr>
        <w:t>a</w:t>
      </w:r>
      <w:proofErr w:type="gramEnd"/>
      <w:r w:rsidRPr="00E14307">
        <w:rPr>
          <w:color w:val="000000"/>
        </w:rPr>
        <w:t xml:space="preserve">-d,  Área 01 (menor altitude); a-b, epiderme adaxial; c-d, epiderme abaxial; (b) Drusa (seta preta); (d) estrias epicuticulares nas células guardas (seta branca). </w:t>
      </w:r>
      <w:proofErr w:type="gramStart"/>
      <w:r w:rsidRPr="00E14307">
        <w:rPr>
          <w:color w:val="000000"/>
        </w:rPr>
        <w:t>e</w:t>
      </w:r>
      <w:proofErr w:type="gramEnd"/>
      <w:r w:rsidRPr="00E14307">
        <w:rPr>
          <w:color w:val="000000"/>
        </w:rPr>
        <w:t xml:space="preserve">-h,  Área 02 (maior altitude). </w:t>
      </w:r>
      <w:proofErr w:type="gramStart"/>
      <w:r w:rsidRPr="00E14307">
        <w:rPr>
          <w:color w:val="000000"/>
        </w:rPr>
        <w:t>e</w:t>
      </w:r>
      <w:proofErr w:type="gramEnd"/>
      <w:r w:rsidRPr="00E14307">
        <w:rPr>
          <w:color w:val="000000"/>
        </w:rPr>
        <w:t>-f, epiderme adaxial, células epidérmicas com paredes espessas com formato alongado, dispostas irregularmente; g-h, epiderme abaxial; (h) estômato não nivelado com as células da epiderme; (f), Drusa (seta preta). Barras: (a) = 100µm; (b-d) = 50µm; (e-h) = 50µm.</w:t>
      </w:r>
    </w:p>
    <w:p w:rsidR="00E14307" w:rsidRPr="00E14307" w:rsidRDefault="00E14307" w:rsidP="00C016FC">
      <w:pPr>
        <w:spacing w:line="240" w:lineRule="auto"/>
        <w:ind w:firstLine="0"/>
        <w:rPr>
          <w:color w:val="000000"/>
        </w:rPr>
      </w:pPr>
    </w:p>
    <w:p w:rsidR="00C016FC" w:rsidRPr="00E14307" w:rsidRDefault="00C016FC" w:rsidP="00C016FC">
      <w:pPr>
        <w:spacing w:line="240" w:lineRule="auto"/>
        <w:ind w:firstLine="0"/>
        <w:rPr>
          <w:color w:val="000000"/>
        </w:rPr>
      </w:pPr>
    </w:p>
    <w:p w:rsidR="00C016FC" w:rsidRPr="00E14307" w:rsidRDefault="00C016FC" w:rsidP="00C016FC">
      <w:pPr>
        <w:spacing w:line="240" w:lineRule="auto"/>
        <w:ind w:firstLine="0"/>
        <w:rPr>
          <w:color w:val="000000"/>
        </w:rPr>
      </w:pPr>
      <w:r w:rsidRPr="00E14307">
        <w:rPr>
          <w:b/>
          <w:color w:val="000000"/>
        </w:rPr>
        <w:t>Figura 2.</w:t>
      </w:r>
      <w:r w:rsidRPr="00E14307">
        <w:rPr>
          <w:color w:val="000000"/>
        </w:rPr>
        <w:t xml:space="preserve"> Seções transversais da região mediana da nervura central e do mesofilo</w:t>
      </w:r>
      <w:r w:rsidRPr="00E14307">
        <w:rPr>
          <w:i/>
          <w:color w:val="000000"/>
        </w:rPr>
        <w:t xml:space="preserve"> </w:t>
      </w:r>
      <w:r w:rsidRPr="00E14307">
        <w:rPr>
          <w:color w:val="000000"/>
        </w:rPr>
        <w:t xml:space="preserve">de </w:t>
      </w:r>
      <w:r w:rsidRPr="00E14307">
        <w:rPr>
          <w:i/>
          <w:color w:val="000000"/>
        </w:rPr>
        <w:t>Clusia obdeltifolia</w:t>
      </w:r>
      <w:r w:rsidRPr="00E14307">
        <w:rPr>
          <w:color w:val="000000"/>
        </w:rPr>
        <w:t xml:space="preserve"> Bittrich, Morro do Pai Inácio, Palmeiras, Bahia. </w:t>
      </w:r>
      <w:proofErr w:type="gramStart"/>
      <w:r w:rsidRPr="00E14307">
        <w:rPr>
          <w:color w:val="000000"/>
        </w:rPr>
        <w:t>a</w:t>
      </w:r>
      <w:proofErr w:type="gramEnd"/>
      <w:r w:rsidRPr="00E14307">
        <w:rPr>
          <w:color w:val="000000"/>
        </w:rPr>
        <w:t>-b, nervura principal ; a, Área 01 (menor altitude); b, Área 02 (maior altitude). (</w:t>
      </w:r>
      <w:proofErr w:type="spellStart"/>
      <w:r w:rsidRPr="00E14307">
        <w:rPr>
          <w:color w:val="000000"/>
        </w:rPr>
        <w:t>cs</w:t>
      </w:r>
      <w:proofErr w:type="spellEnd"/>
      <w:r w:rsidRPr="00E14307">
        <w:rPr>
          <w:color w:val="000000"/>
        </w:rPr>
        <w:t xml:space="preserve">) canal secretor. </w:t>
      </w:r>
      <w:proofErr w:type="gramStart"/>
      <w:r w:rsidRPr="00E14307">
        <w:rPr>
          <w:color w:val="000000"/>
        </w:rPr>
        <w:t>c</w:t>
      </w:r>
      <w:proofErr w:type="gramEnd"/>
      <w:r w:rsidRPr="00E14307">
        <w:rPr>
          <w:color w:val="000000"/>
        </w:rPr>
        <w:t xml:space="preserve">-h, </w:t>
      </w:r>
      <w:r w:rsidRPr="00E14307">
        <w:t>Seções transversais do mesofilo; c, e, g,  Área 01 (menor altitude). d, f, h, Área 02 (maior altitude). (</w:t>
      </w:r>
      <w:proofErr w:type="spellStart"/>
      <w:r w:rsidRPr="00E14307">
        <w:t>cse</w:t>
      </w:r>
      <w:proofErr w:type="spellEnd"/>
      <w:r w:rsidRPr="00E14307">
        <w:t>) câmaras subestomática, (</w:t>
      </w:r>
      <w:proofErr w:type="spellStart"/>
      <w:r w:rsidRPr="00E14307">
        <w:t>cs</w:t>
      </w:r>
      <w:proofErr w:type="spellEnd"/>
      <w:r w:rsidRPr="00E14307">
        <w:t>) canal secretor, (</w:t>
      </w:r>
      <w:proofErr w:type="spellStart"/>
      <w:proofErr w:type="gramStart"/>
      <w:r w:rsidRPr="00E14307">
        <w:t>cr</w:t>
      </w:r>
      <w:proofErr w:type="spellEnd"/>
      <w:proofErr w:type="gramEnd"/>
      <w:r w:rsidRPr="00E14307">
        <w:t>) cristal, (</w:t>
      </w:r>
      <w:proofErr w:type="spellStart"/>
      <w:r w:rsidRPr="00E14307">
        <w:t>cb</w:t>
      </w:r>
      <w:proofErr w:type="spellEnd"/>
      <w:r w:rsidRPr="00E14307">
        <w:t>) cutícula abaxial, (cd) cutícula adaxial, (</w:t>
      </w:r>
      <w:proofErr w:type="spellStart"/>
      <w:r w:rsidRPr="00E14307">
        <w:t>epb</w:t>
      </w:r>
      <w:proofErr w:type="spellEnd"/>
      <w:r w:rsidRPr="00E14307">
        <w:t>) epiderme abaxial,  (</w:t>
      </w:r>
      <w:proofErr w:type="spellStart"/>
      <w:r w:rsidRPr="00E14307">
        <w:t>epd</w:t>
      </w:r>
      <w:proofErr w:type="spellEnd"/>
      <w:r w:rsidRPr="00E14307">
        <w:t>) epiderme adaxial, (</w:t>
      </w:r>
      <w:proofErr w:type="spellStart"/>
      <w:r w:rsidRPr="00E14307">
        <w:t>hi</w:t>
      </w:r>
      <w:proofErr w:type="spellEnd"/>
      <w:r w:rsidRPr="00E14307">
        <w:t>) hipoderme, (</w:t>
      </w:r>
      <w:proofErr w:type="spellStart"/>
      <w:r w:rsidRPr="00E14307">
        <w:t>pp</w:t>
      </w:r>
      <w:proofErr w:type="spellEnd"/>
      <w:r w:rsidRPr="00E14307">
        <w:t>) parênquima paliçádico, (</w:t>
      </w:r>
      <w:proofErr w:type="spellStart"/>
      <w:r w:rsidRPr="00E14307">
        <w:t>pl</w:t>
      </w:r>
      <w:proofErr w:type="spellEnd"/>
      <w:r w:rsidRPr="00E14307">
        <w:t xml:space="preserve">) parênquima lacunoso, flanges cuticulares (seta branca). Barras: (a-b) = 500µm; (c, d, g, h) = 100µm; (e-f) = </w:t>
      </w:r>
      <w:r w:rsidRPr="00E14307">
        <w:rPr>
          <w:color w:val="000000"/>
        </w:rPr>
        <w:t>50µm.</w:t>
      </w:r>
    </w:p>
    <w:p w:rsidR="00C016FC" w:rsidRPr="00E14307" w:rsidRDefault="00C016FC" w:rsidP="00C016FC">
      <w:pPr>
        <w:spacing w:line="240" w:lineRule="auto"/>
        <w:ind w:firstLine="0"/>
        <w:rPr>
          <w:color w:val="000000"/>
        </w:rPr>
      </w:pPr>
    </w:p>
    <w:p w:rsidR="00C016FC" w:rsidRPr="00E14307" w:rsidRDefault="00C016FC" w:rsidP="00C016FC">
      <w:pPr>
        <w:spacing w:line="240" w:lineRule="auto"/>
        <w:ind w:firstLine="0"/>
      </w:pPr>
      <w:r w:rsidRPr="00E14307">
        <w:rPr>
          <w:b/>
        </w:rPr>
        <w:t>Figura 3:</w:t>
      </w:r>
      <w:r w:rsidRPr="00E14307">
        <w:t xml:space="preserve"> Seções transversais do ápice e bordo de </w:t>
      </w:r>
      <w:r w:rsidRPr="00E14307">
        <w:rPr>
          <w:i/>
        </w:rPr>
        <w:t>Clusia obdeltifolia</w:t>
      </w:r>
      <w:r w:rsidRPr="00E14307">
        <w:t xml:space="preserve"> Bittrich, Morro do Pai Inácio, Palmeiras, Bahia. </w:t>
      </w:r>
      <w:proofErr w:type="gramStart"/>
      <w:r w:rsidRPr="00E14307">
        <w:t>a</w:t>
      </w:r>
      <w:proofErr w:type="gramEnd"/>
      <w:r w:rsidRPr="00E14307">
        <w:t>, c, e, Área 01 (menor altitude).  b, d, f, Área 02 (maior altitude); a – b. Ápice; c – d, região intermediária entre o ápice e o meio; e – f, bordo. (cd) cutícula adaxial, (</w:t>
      </w:r>
      <w:proofErr w:type="spellStart"/>
      <w:r w:rsidRPr="00E14307">
        <w:t>cb</w:t>
      </w:r>
      <w:proofErr w:type="spellEnd"/>
      <w:r w:rsidRPr="00E14307">
        <w:t>) cutícula abaxial, (</w:t>
      </w:r>
      <w:proofErr w:type="spellStart"/>
      <w:r w:rsidRPr="00E14307">
        <w:t>epb</w:t>
      </w:r>
      <w:proofErr w:type="spellEnd"/>
      <w:r w:rsidRPr="00E14307">
        <w:t>) epiderme abaxial, (</w:t>
      </w:r>
      <w:proofErr w:type="spellStart"/>
      <w:r w:rsidRPr="00E14307">
        <w:t>epd</w:t>
      </w:r>
      <w:proofErr w:type="spellEnd"/>
      <w:r w:rsidRPr="00E14307">
        <w:t>) epiderme adaxial, (</w:t>
      </w:r>
      <w:proofErr w:type="spellStart"/>
      <w:r w:rsidRPr="00E14307">
        <w:t>fv</w:t>
      </w:r>
      <w:proofErr w:type="spellEnd"/>
      <w:r w:rsidRPr="00E14307">
        <w:t>) feixe vascular, (</w:t>
      </w:r>
      <w:proofErr w:type="spellStart"/>
      <w:r w:rsidRPr="00E14307">
        <w:t>hi</w:t>
      </w:r>
      <w:proofErr w:type="spellEnd"/>
      <w:r w:rsidRPr="00E14307">
        <w:t>) hipoderme, (</w:t>
      </w:r>
      <w:proofErr w:type="spellStart"/>
      <w:proofErr w:type="gramStart"/>
      <w:r w:rsidRPr="00E14307">
        <w:t>pl</w:t>
      </w:r>
      <w:proofErr w:type="spellEnd"/>
      <w:proofErr w:type="gramEnd"/>
      <w:r w:rsidRPr="00E14307">
        <w:t>) parênquima lacunoso, (</w:t>
      </w:r>
      <w:proofErr w:type="spellStart"/>
      <w:r w:rsidRPr="00E14307">
        <w:t>pp</w:t>
      </w:r>
      <w:proofErr w:type="spellEnd"/>
      <w:r w:rsidRPr="00E14307">
        <w:t>)parênquima paliçádico. Barras: (a-d) = 200µm; (e-f) = 500µm.</w:t>
      </w:r>
    </w:p>
    <w:p w:rsidR="00C016FC" w:rsidRPr="00E14307" w:rsidRDefault="00C016FC" w:rsidP="00C016FC">
      <w:pPr>
        <w:spacing w:line="240" w:lineRule="auto"/>
        <w:ind w:firstLine="0"/>
        <w:contextualSpacing w:val="0"/>
        <w:jc w:val="left"/>
      </w:pPr>
    </w:p>
    <w:p w:rsidR="00C016FC" w:rsidRDefault="00C016FC"/>
    <w:sectPr w:rsidR="00C016FC" w:rsidSect="00AE0B2A">
      <w:headerReference w:type="default" r:id="rId6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AC" w:rsidRDefault="00A606AC" w:rsidP="00765426">
      <w:pPr>
        <w:spacing w:line="240" w:lineRule="auto"/>
      </w:pPr>
      <w:r>
        <w:separator/>
      </w:r>
    </w:p>
  </w:endnote>
  <w:endnote w:type="continuationSeparator" w:id="0">
    <w:p w:rsidR="00A606AC" w:rsidRDefault="00A606AC" w:rsidP="0076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AC" w:rsidRDefault="00A606AC" w:rsidP="00765426">
      <w:pPr>
        <w:spacing w:line="240" w:lineRule="auto"/>
      </w:pPr>
      <w:r>
        <w:separator/>
      </w:r>
    </w:p>
  </w:footnote>
  <w:footnote w:type="continuationSeparator" w:id="0">
    <w:p w:rsidR="00A606AC" w:rsidRDefault="00A606AC" w:rsidP="007654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FB" w:rsidRDefault="00EB4C7C">
    <w:pPr>
      <w:pStyle w:val="Cabealho"/>
      <w:jc w:val="right"/>
    </w:pPr>
    <w:r>
      <w:fldChar w:fldCharType="begin"/>
    </w:r>
    <w:r w:rsidR="00BC2F1D">
      <w:instrText xml:space="preserve"> PAGE   \* MERGEFORMAT </w:instrText>
    </w:r>
    <w:r>
      <w:fldChar w:fldCharType="separate"/>
    </w:r>
    <w:r w:rsidR="00E14307">
      <w:rPr>
        <w:noProof/>
      </w:rPr>
      <w:t>2</w:t>
    </w:r>
    <w:r>
      <w:fldChar w:fldCharType="end"/>
    </w:r>
  </w:p>
  <w:p w:rsidR="00DB5EFB" w:rsidRDefault="00A606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BF"/>
    <w:rsid w:val="00167FBF"/>
    <w:rsid w:val="00491DFA"/>
    <w:rsid w:val="006C523E"/>
    <w:rsid w:val="00765426"/>
    <w:rsid w:val="00817696"/>
    <w:rsid w:val="00A606AC"/>
    <w:rsid w:val="00AA00BE"/>
    <w:rsid w:val="00AE0B2A"/>
    <w:rsid w:val="00B62462"/>
    <w:rsid w:val="00B7482A"/>
    <w:rsid w:val="00BC2F1D"/>
    <w:rsid w:val="00C016FC"/>
    <w:rsid w:val="00E14307"/>
    <w:rsid w:val="00EB4C7C"/>
    <w:rsid w:val="00F0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BF"/>
    <w:pPr>
      <w:autoSpaceDE w:val="0"/>
      <w:autoSpaceDN w:val="0"/>
      <w:adjustRightInd w:val="0"/>
      <w:spacing w:after="0" w:line="360" w:lineRule="auto"/>
      <w:ind w:firstLine="284"/>
      <w:contextualSpacing/>
      <w:jc w:val="both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FBF"/>
    <w:pPr>
      <w:tabs>
        <w:tab w:val="center" w:pos="4252"/>
        <w:tab w:val="right" w:pos="8504"/>
      </w:tabs>
      <w:spacing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167FBF"/>
    <w:rPr>
      <w:rFonts w:ascii="Arial" w:eastAsia="Calibri" w:hAnsi="Arial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167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3052</Characters>
  <Application>Microsoft Office Word</Application>
  <DocSecurity>0</DocSecurity>
  <Lines>25</Lines>
  <Paragraphs>7</Paragraphs>
  <ScaleCrop>false</ScaleCrop>
  <Company>Hewlett-Packard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5</cp:revision>
  <dcterms:created xsi:type="dcterms:W3CDTF">2012-05-26T02:21:00Z</dcterms:created>
  <dcterms:modified xsi:type="dcterms:W3CDTF">2013-10-10T23:25:00Z</dcterms:modified>
</cp:coreProperties>
</file>