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C9" w:rsidRPr="00BD21F7" w:rsidRDefault="00B44EC9" w:rsidP="00B44EC9">
      <w:pPr>
        <w:spacing w:line="240" w:lineRule="auto"/>
        <w:jc w:val="center"/>
        <w:rPr>
          <w:rFonts w:ascii="Times New Roman" w:hAnsi="Times New Roman" w:cs="Times New Roman"/>
          <w:b/>
          <w:sz w:val="24"/>
          <w:szCs w:val="24"/>
        </w:rPr>
      </w:pPr>
      <w:r w:rsidRPr="00BD21F7">
        <w:rPr>
          <w:rFonts w:ascii="Times New Roman" w:hAnsi="Times New Roman" w:cs="Times New Roman"/>
          <w:b/>
          <w:sz w:val="24"/>
          <w:szCs w:val="24"/>
        </w:rPr>
        <w:t>A C</w:t>
      </w:r>
      <w:r>
        <w:rPr>
          <w:rFonts w:ascii="Times New Roman" w:hAnsi="Times New Roman" w:cs="Times New Roman"/>
          <w:b/>
          <w:sz w:val="24"/>
          <w:szCs w:val="24"/>
        </w:rPr>
        <w:t>omissão Nacional da Verdade (2012-2014</w:t>
      </w:r>
      <w:r w:rsidRPr="00BD21F7">
        <w:rPr>
          <w:rFonts w:ascii="Times New Roman" w:hAnsi="Times New Roman" w:cs="Times New Roman"/>
          <w:b/>
          <w:sz w:val="24"/>
          <w:szCs w:val="24"/>
        </w:rPr>
        <w:t xml:space="preserve">): O permanente legado autoritário em questão </w:t>
      </w:r>
    </w:p>
    <w:p w:rsidR="00B44EC9" w:rsidRDefault="00B44EC9" w:rsidP="00B44EC9">
      <w:pPr>
        <w:spacing w:after="0" w:line="360" w:lineRule="auto"/>
        <w:jc w:val="both"/>
        <w:rPr>
          <w:rFonts w:ascii="Times New Roman" w:hAnsi="Times New Roman" w:cs="Times New Roman"/>
          <w:sz w:val="24"/>
          <w:szCs w:val="24"/>
        </w:rPr>
      </w:pPr>
    </w:p>
    <w:p w:rsidR="00B44EC9" w:rsidRDefault="00B44EC9" w:rsidP="00B44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Resumo:</w:t>
      </w:r>
    </w:p>
    <w:p w:rsidR="00E930F3" w:rsidRPr="00E930F3" w:rsidRDefault="00E8366D" w:rsidP="00B44EC9">
      <w:pPr>
        <w:spacing w:after="0" w:line="360" w:lineRule="auto"/>
        <w:jc w:val="both"/>
        <w:rPr>
          <w:rFonts w:ascii="Times New Roman" w:hAnsi="Times New Roman" w:cs="Times New Roman"/>
          <w:sz w:val="24"/>
          <w:szCs w:val="24"/>
        </w:rPr>
      </w:pPr>
      <w:r w:rsidRPr="00E930F3">
        <w:rPr>
          <w:rFonts w:ascii="Times New Roman" w:hAnsi="Times New Roman" w:cs="Times New Roman"/>
          <w:sz w:val="24"/>
          <w:szCs w:val="24"/>
        </w:rPr>
        <w:t xml:space="preserve">Após a criação da Comissão Nacional da </w:t>
      </w:r>
      <w:proofErr w:type="gramStart"/>
      <w:r w:rsidRPr="00E930F3">
        <w:rPr>
          <w:rFonts w:ascii="Times New Roman" w:hAnsi="Times New Roman" w:cs="Times New Roman"/>
          <w:sz w:val="24"/>
          <w:szCs w:val="24"/>
        </w:rPr>
        <w:t>Verdade</w:t>
      </w:r>
      <w:r w:rsidR="00E930F3" w:rsidRPr="00E930F3">
        <w:rPr>
          <w:rFonts w:ascii="Times New Roman" w:hAnsi="Times New Roman" w:cs="Times New Roman"/>
          <w:sz w:val="24"/>
          <w:szCs w:val="24"/>
        </w:rPr>
        <w:t>(</w:t>
      </w:r>
      <w:proofErr w:type="gramEnd"/>
      <w:r w:rsidR="00E930F3" w:rsidRPr="00E930F3">
        <w:rPr>
          <w:rFonts w:ascii="Times New Roman" w:hAnsi="Times New Roman" w:cs="Times New Roman"/>
          <w:sz w:val="24"/>
          <w:szCs w:val="24"/>
        </w:rPr>
        <w:t>CNV)</w:t>
      </w:r>
      <w:r w:rsidRPr="00E930F3">
        <w:rPr>
          <w:rFonts w:ascii="Times New Roman" w:hAnsi="Times New Roman" w:cs="Times New Roman"/>
          <w:sz w:val="24"/>
          <w:szCs w:val="24"/>
        </w:rPr>
        <w:t xml:space="preserve"> em 2012, a partir da </w:t>
      </w:r>
      <w:r w:rsidRPr="00E930F3">
        <w:rPr>
          <w:rFonts w:ascii="Times New Roman" w:hAnsi="Times New Roman" w:cs="Times New Roman"/>
          <w:sz w:val="24"/>
          <w:szCs w:val="24"/>
          <w:shd w:val="clear" w:color="auto" w:fill="FFFFFF"/>
        </w:rPr>
        <w:t xml:space="preserve">Lei nº 12528/2011, tornou-se oficial por parte do Estado brasileiro a concretização de um instrumento com o objetivo de levantar os crimes de </w:t>
      </w:r>
      <w:r w:rsidRPr="00E930F3">
        <w:rPr>
          <w:rFonts w:ascii="Times New Roman" w:hAnsi="Times New Roman" w:cs="Times New Roman"/>
          <w:sz w:val="24"/>
          <w:szCs w:val="24"/>
        </w:rPr>
        <w:t>violação dos direitos humanos entre os anos 1946-1988. Com esta iniciativa foi</w:t>
      </w:r>
      <w:r w:rsidRPr="00E930F3">
        <w:rPr>
          <w:rFonts w:ascii="Times New Roman" w:hAnsi="Times New Roman" w:cs="Times New Roman"/>
          <w:sz w:val="24"/>
          <w:szCs w:val="24"/>
          <w:shd w:val="clear" w:color="auto" w:fill="FFFFFF"/>
        </w:rPr>
        <w:t xml:space="preserve"> dado um importante passo para a elucidação do passado perante a atuação dos agentes do Estado, da sociedade civil e empresarial, principalmente, no período da ditadura civil-militar brasileira de 1964-1985, experiências que outros Estados com passado autoritário também o realizaram (Portugal, Grécia, Espanha, Argentina, Chile, Uruguai, África do Sul e outros) com diferentes impactos sobre a transição para a democracia. </w:t>
      </w:r>
      <w:r w:rsidR="00E930F3" w:rsidRPr="00E930F3">
        <w:rPr>
          <w:rFonts w:ascii="Times New Roman" w:hAnsi="Times New Roman" w:cs="Times New Roman"/>
          <w:sz w:val="24"/>
          <w:szCs w:val="24"/>
          <w:shd w:val="clear" w:color="auto" w:fill="FFFFFF"/>
        </w:rPr>
        <w:t xml:space="preserve">Desta forma objetivamos </w:t>
      </w:r>
      <w:r w:rsidR="00E930F3" w:rsidRPr="00E930F3">
        <w:rPr>
          <w:rFonts w:ascii="Times New Roman" w:hAnsi="Times New Roman" w:cs="Times New Roman"/>
          <w:sz w:val="24"/>
          <w:szCs w:val="24"/>
        </w:rPr>
        <w:t xml:space="preserve">dimensionar questões sobre a justiça </w:t>
      </w:r>
      <w:proofErr w:type="spellStart"/>
      <w:r w:rsidR="00E930F3" w:rsidRPr="00E930F3">
        <w:rPr>
          <w:rFonts w:ascii="Times New Roman" w:hAnsi="Times New Roman" w:cs="Times New Roman"/>
          <w:sz w:val="24"/>
          <w:szCs w:val="24"/>
        </w:rPr>
        <w:t>transicional</w:t>
      </w:r>
      <w:proofErr w:type="spellEnd"/>
      <w:r w:rsidR="00E930F3" w:rsidRPr="00E930F3">
        <w:rPr>
          <w:rFonts w:ascii="Times New Roman" w:hAnsi="Times New Roman" w:cs="Times New Roman"/>
          <w:sz w:val="24"/>
          <w:szCs w:val="24"/>
        </w:rPr>
        <w:t xml:space="preserve"> com relação ao trabalho realizado pela CNV e suas recomendações em questões como: abertura dos arquivos, no processo da revisão da Lei da Anistia, e os decretos de leis sobre os crimes contra a segurança nacional. </w:t>
      </w:r>
    </w:p>
    <w:p w:rsidR="00E930F3" w:rsidRDefault="00B44EC9" w:rsidP="00E8366D">
      <w:pPr>
        <w:spacing w:after="0" w:line="360" w:lineRule="auto"/>
        <w:jc w:val="both"/>
        <w:rPr>
          <w:rFonts w:ascii="Times New Roman" w:hAnsi="Times New Roman" w:cs="Times New Roman"/>
          <w:color w:val="111111"/>
          <w:sz w:val="24"/>
          <w:szCs w:val="24"/>
          <w:shd w:val="clear" w:color="auto" w:fill="FFFFFF"/>
        </w:rPr>
      </w:pPr>
      <w:proofErr w:type="spellStart"/>
      <w:r w:rsidRPr="00B44EC9">
        <w:rPr>
          <w:rFonts w:ascii="Times New Roman" w:hAnsi="Times New Roman" w:cs="Times New Roman"/>
          <w:color w:val="222222"/>
          <w:sz w:val="24"/>
          <w:szCs w:val="24"/>
          <w:shd w:val="clear" w:color="auto" w:fill="FFFFFF"/>
        </w:rPr>
        <w:t>Palavras-chave</w:t>
      </w:r>
      <w:proofErr w:type="spellEnd"/>
      <w:r w:rsidRPr="00B44EC9">
        <w:rPr>
          <w:rFonts w:ascii="Times New Roman" w:hAnsi="Times New Roman" w:cs="Times New Roman"/>
          <w:color w:val="222222"/>
          <w:sz w:val="24"/>
          <w:szCs w:val="24"/>
          <w:shd w:val="clear" w:color="auto" w:fill="FFFFFF"/>
        </w:rPr>
        <w:t xml:space="preserve">: </w:t>
      </w:r>
      <w:r w:rsidRPr="00B44EC9">
        <w:rPr>
          <w:rFonts w:ascii="Times New Roman" w:hAnsi="Times New Roman" w:cs="Times New Roman"/>
          <w:color w:val="111111"/>
          <w:sz w:val="24"/>
          <w:szCs w:val="24"/>
          <w:shd w:val="clear" w:color="auto" w:fill="FFFFFF"/>
        </w:rPr>
        <w:t xml:space="preserve">Ditadura Militar; Redemocratização; Justiça </w:t>
      </w:r>
      <w:proofErr w:type="spellStart"/>
      <w:r w:rsidRPr="00B44EC9">
        <w:rPr>
          <w:rFonts w:ascii="Times New Roman" w:hAnsi="Times New Roman" w:cs="Times New Roman"/>
          <w:color w:val="111111"/>
          <w:sz w:val="24"/>
          <w:szCs w:val="24"/>
          <w:shd w:val="clear" w:color="auto" w:fill="FFFFFF"/>
        </w:rPr>
        <w:t>Transicional</w:t>
      </w:r>
      <w:proofErr w:type="spellEnd"/>
      <w:r>
        <w:rPr>
          <w:rFonts w:ascii="Times New Roman" w:hAnsi="Times New Roman" w:cs="Times New Roman"/>
          <w:color w:val="111111"/>
          <w:sz w:val="24"/>
          <w:szCs w:val="24"/>
          <w:shd w:val="clear" w:color="auto" w:fill="FFFFFF"/>
        </w:rPr>
        <w:t>.</w:t>
      </w:r>
    </w:p>
    <w:p w:rsidR="00B44EC9" w:rsidRDefault="00B44EC9" w:rsidP="00E8366D">
      <w:pPr>
        <w:spacing w:after="0" w:line="360" w:lineRule="auto"/>
        <w:jc w:val="both"/>
        <w:rPr>
          <w:rFonts w:ascii="Times New Roman" w:hAnsi="Times New Roman" w:cs="Times New Roman"/>
          <w:color w:val="111111"/>
          <w:sz w:val="24"/>
          <w:szCs w:val="24"/>
          <w:shd w:val="clear" w:color="auto" w:fill="FFFFFF"/>
        </w:rPr>
      </w:pPr>
    </w:p>
    <w:p w:rsidR="00B44EC9" w:rsidRPr="00B44EC9" w:rsidRDefault="00B44EC9" w:rsidP="00E8366D">
      <w:pPr>
        <w:spacing w:after="0" w:line="360" w:lineRule="auto"/>
        <w:jc w:val="both"/>
        <w:rPr>
          <w:rFonts w:ascii="Times New Roman" w:hAnsi="Times New Roman" w:cs="Times New Roman"/>
          <w:sz w:val="24"/>
          <w:szCs w:val="24"/>
          <w:shd w:val="clear" w:color="auto" w:fill="FFFFFF"/>
          <w:lang w:val="en-US"/>
        </w:rPr>
      </w:pPr>
      <w:r w:rsidRPr="00B44EC9">
        <w:rPr>
          <w:rFonts w:ascii="Times New Roman" w:hAnsi="Times New Roman" w:cs="Times New Roman"/>
          <w:sz w:val="24"/>
          <w:szCs w:val="24"/>
          <w:shd w:val="clear" w:color="auto" w:fill="FFFFFF"/>
          <w:lang w:val="en-US"/>
        </w:rPr>
        <w:t xml:space="preserve">Abstract: </w:t>
      </w:r>
    </w:p>
    <w:p w:rsidR="00E930F3" w:rsidRDefault="00B44EC9" w:rsidP="00E8366D">
      <w:pPr>
        <w:spacing w:after="0" w:line="360" w:lineRule="auto"/>
        <w:jc w:val="both"/>
        <w:rPr>
          <w:rFonts w:ascii="Times New Roman" w:hAnsi="Times New Roman" w:cs="Times New Roman"/>
          <w:sz w:val="24"/>
          <w:szCs w:val="24"/>
          <w:shd w:val="clear" w:color="auto" w:fill="FFFFFF"/>
          <w:lang w:val="en-US"/>
        </w:rPr>
      </w:pPr>
      <w:proofErr w:type="gramStart"/>
      <w:r w:rsidRPr="00B44EC9">
        <w:rPr>
          <w:rFonts w:ascii="Times New Roman" w:hAnsi="Times New Roman" w:cs="Times New Roman"/>
          <w:sz w:val="24"/>
          <w:szCs w:val="24"/>
          <w:shd w:val="clear" w:color="auto" w:fill="FFFFFF"/>
          <w:lang w:val="en-US"/>
        </w:rPr>
        <w:t>After the creation of the National Truth Commission (CNV) in 2012, from the Law nº.</w:t>
      </w:r>
      <w:proofErr w:type="gramEnd"/>
      <w:r w:rsidRPr="00B44EC9">
        <w:rPr>
          <w:rFonts w:ascii="Times New Roman" w:hAnsi="Times New Roman" w:cs="Times New Roman"/>
          <w:sz w:val="24"/>
          <w:szCs w:val="24"/>
          <w:shd w:val="clear" w:color="auto" w:fill="FFFFFF"/>
          <w:lang w:val="en-US"/>
        </w:rPr>
        <w:t xml:space="preserve"> 12528/</w:t>
      </w:r>
      <w:proofErr w:type="gramStart"/>
      <w:r w:rsidRPr="00B44EC9">
        <w:rPr>
          <w:rFonts w:ascii="Times New Roman" w:hAnsi="Times New Roman" w:cs="Times New Roman"/>
          <w:sz w:val="24"/>
          <w:szCs w:val="24"/>
          <w:shd w:val="clear" w:color="auto" w:fill="FFFFFF"/>
          <w:lang w:val="en-US"/>
        </w:rPr>
        <w:t>2011,</w:t>
      </w:r>
      <w:proofErr w:type="gramEnd"/>
      <w:r w:rsidRPr="00B44EC9">
        <w:rPr>
          <w:rFonts w:ascii="Times New Roman" w:hAnsi="Times New Roman" w:cs="Times New Roman"/>
          <w:sz w:val="24"/>
          <w:szCs w:val="24"/>
          <w:shd w:val="clear" w:color="auto" w:fill="FFFFFF"/>
          <w:lang w:val="en-US"/>
        </w:rPr>
        <w:t xml:space="preserve"> was made official by the Brazilian government the realization of an instrument with the aim of raising the crimes of violation of human rights between the years 1946-1988. This initiative was an important step towards the elucidation of the past before the actions of state officials, civil society and business, especially in the period of the Brazilian civil-military dictatorship of 1964-1985, experiences that other states with authoritarian past also the realized (Portugal, Greece, Spain, Argentina, Chile, Uruguay, South Africa and others) with different impacts on the transition to democracy. In this way we aim to scale issues of transitional justice in relation to the work done by the CNV and its recommendations on issues such as: opening of the archives, in the process of reviewing the Amnesty Law, decrees and laws on crimes against national security.</w:t>
      </w:r>
    </w:p>
    <w:p w:rsidR="00B44EC9" w:rsidRPr="00B44EC9" w:rsidRDefault="001E0081" w:rsidP="00E8366D">
      <w:pPr>
        <w:spacing w:after="0"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Key</w:t>
      </w:r>
      <w:r w:rsidR="00B44EC9">
        <w:rPr>
          <w:rFonts w:ascii="Times New Roman" w:hAnsi="Times New Roman" w:cs="Times New Roman"/>
          <w:sz w:val="24"/>
          <w:szCs w:val="24"/>
          <w:shd w:val="clear" w:color="auto" w:fill="FFFFFF"/>
          <w:lang w:val="en-US"/>
        </w:rPr>
        <w:t>word</w:t>
      </w:r>
      <w:r>
        <w:rPr>
          <w:rFonts w:ascii="Times New Roman" w:hAnsi="Times New Roman" w:cs="Times New Roman"/>
          <w:sz w:val="24"/>
          <w:szCs w:val="24"/>
          <w:shd w:val="clear" w:color="auto" w:fill="FFFFFF"/>
          <w:lang w:val="en-US"/>
        </w:rPr>
        <w:t>s</w:t>
      </w:r>
      <w:r w:rsidR="00B44EC9">
        <w:rPr>
          <w:rFonts w:ascii="Times New Roman" w:hAnsi="Times New Roman" w:cs="Times New Roman"/>
          <w:sz w:val="24"/>
          <w:szCs w:val="24"/>
          <w:shd w:val="clear" w:color="auto" w:fill="FFFFFF"/>
          <w:lang w:val="en-US"/>
        </w:rPr>
        <w:t>: Military Dictatorship; D</w:t>
      </w:r>
      <w:r w:rsidR="00B44EC9" w:rsidRPr="00B44EC9">
        <w:rPr>
          <w:rFonts w:ascii="Times New Roman" w:hAnsi="Times New Roman" w:cs="Times New Roman"/>
          <w:sz w:val="24"/>
          <w:szCs w:val="24"/>
          <w:shd w:val="clear" w:color="auto" w:fill="FFFFFF"/>
          <w:lang w:val="en-US"/>
        </w:rPr>
        <w:t>emocratization; Transitional Justice</w:t>
      </w:r>
      <w:r w:rsidR="00B44EC9">
        <w:rPr>
          <w:rFonts w:ascii="Times New Roman" w:hAnsi="Times New Roman" w:cs="Times New Roman"/>
          <w:sz w:val="24"/>
          <w:szCs w:val="24"/>
          <w:shd w:val="clear" w:color="auto" w:fill="FFFFFF"/>
          <w:lang w:val="en-US"/>
        </w:rPr>
        <w:t>.</w:t>
      </w:r>
    </w:p>
    <w:sectPr w:rsidR="00B44EC9" w:rsidRPr="00B44EC9" w:rsidSect="004257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8366D"/>
    <w:rsid w:val="001E0081"/>
    <w:rsid w:val="00425795"/>
    <w:rsid w:val="00B44EC9"/>
    <w:rsid w:val="00E8366D"/>
    <w:rsid w:val="00E930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E930F3"/>
    <w:pPr>
      <w:widowControl w:val="0"/>
      <w:suppressLineNumbers/>
      <w:suppressAutoHyphens/>
      <w:spacing w:after="0" w:line="240" w:lineRule="auto"/>
      <w:ind w:left="283" w:hanging="283"/>
    </w:pPr>
    <w:rPr>
      <w:rFonts w:ascii="Liberation Serif" w:eastAsia="WenQuanYi Micro Hei" w:hAnsi="Liberation Serif" w:cs="Lohit Hindi"/>
      <w:kern w:val="1"/>
      <w:sz w:val="20"/>
      <w:szCs w:val="20"/>
      <w:lang w:eastAsia="zh-CN" w:bidi="hi-IN"/>
    </w:rPr>
  </w:style>
  <w:style w:type="character" w:customStyle="1" w:styleId="TextodenotaderodapChar">
    <w:name w:val="Texto de nota de rodapé Char"/>
    <w:basedOn w:val="Fontepargpadro"/>
    <w:link w:val="Textodenotaderodap"/>
    <w:rsid w:val="00E930F3"/>
    <w:rPr>
      <w:rFonts w:ascii="Liberation Serif" w:eastAsia="WenQuanYi Micro Hei" w:hAnsi="Liberation Serif" w:cs="Lohit Hindi"/>
      <w:kern w:val="1"/>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347</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Dimitre</dc:creator>
  <cp:lastModifiedBy>Dimitre</cp:lastModifiedBy>
  <cp:revision>2</cp:revision>
  <dcterms:created xsi:type="dcterms:W3CDTF">2015-11-15T01:13:00Z</dcterms:created>
  <dcterms:modified xsi:type="dcterms:W3CDTF">2015-11-15T01:58:00Z</dcterms:modified>
</cp:coreProperties>
</file>